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C728B" w14:textId="77777777" w:rsidR="00BF0F78" w:rsidRPr="009B1BB3" w:rsidRDefault="00000000">
      <w:pPr>
        <w:widowControl w:val="0"/>
        <w:overflowPunct w:val="0"/>
        <w:adjustRightInd w:val="0"/>
        <w:snapToGrid w:val="0"/>
        <w:spacing w:before="240" w:after="120" w:line="288" w:lineRule="auto"/>
      </w:pPr>
      <w:bookmarkStart w:id="0" w:name="_Hlk153804799"/>
      <w:r w:rsidRPr="009B1BB3">
        <w:t>Article</w:t>
      </w:r>
    </w:p>
    <w:bookmarkEnd w:id="0"/>
    <w:p w14:paraId="645F4C03" w14:textId="77777777" w:rsidR="00BF0F78" w:rsidRPr="009B1BB3" w:rsidRDefault="00000000">
      <w:pPr>
        <w:widowControl w:val="0"/>
        <w:overflowPunct w:val="0"/>
        <w:adjustRightInd w:val="0"/>
        <w:snapToGrid w:val="0"/>
        <w:spacing w:after="240" w:line="288" w:lineRule="auto"/>
        <w:rPr>
          <w:b/>
          <w:sz w:val="32"/>
          <w:szCs w:val="32"/>
        </w:rPr>
      </w:pPr>
      <w:r w:rsidRPr="009B1BB3">
        <w:rPr>
          <w:b/>
          <w:sz w:val="32"/>
          <w:szCs w:val="32"/>
          <w:lang w:eastAsia="zh-CN"/>
        </w:rPr>
        <w:t>Does economic growth, external debt, and institutional quality promote poverty and income inequality in Nigeria?</w:t>
      </w:r>
    </w:p>
    <w:p w14:paraId="48104F0D" w14:textId="6C2CC65F" w:rsidR="00BF0F78" w:rsidRPr="009B1BB3" w:rsidRDefault="00000000">
      <w:pPr>
        <w:widowControl w:val="0"/>
        <w:overflowPunct w:val="0"/>
        <w:adjustRightInd w:val="0"/>
        <w:snapToGrid w:val="0"/>
        <w:spacing w:after="240" w:line="288" w:lineRule="auto"/>
        <w:rPr>
          <w:b/>
          <w:bCs/>
          <w:lang w:eastAsia="zh-CN"/>
        </w:rPr>
      </w:pPr>
      <w:r w:rsidRPr="009B1BB3">
        <w:rPr>
          <w:b/>
          <w:bCs/>
        </w:rPr>
        <w:t xml:space="preserve">Magaji Ibrahim Yakubu, Samson Adeniyi </w:t>
      </w:r>
      <w:proofErr w:type="spellStart"/>
      <w:r w:rsidRPr="009B1BB3">
        <w:rPr>
          <w:b/>
          <w:bCs/>
        </w:rPr>
        <w:t>Aladejare</w:t>
      </w:r>
      <w:proofErr w:type="spellEnd"/>
      <w:r w:rsidR="009966AD" w:rsidRPr="00E938E1">
        <w:rPr>
          <w:b/>
          <w:bCs/>
          <w:iCs/>
          <w:szCs w:val="22"/>
          <w:vertAlign w:val="superscript"/>
        </w:rPr>
        <w:t>*</w:t>
      </w:r>
    </w:p>
    <w:p w14:paraId="34B591EC" w14:textId="72C3EDD9" w:rsidR="00BF0F78" w:rsidRPr="009B1BB3" w:rsidRDefault="00000000">
      <w:pPr>
        <w:widowControl w:val="0"/>
        <w:overflowPunct w:val="0"/>
        <w:adjustRightInd w:val="0"/>
        <w:snapToGrid w:val="0"/>
        <w:spacing w:after="0" w:line="288" w:lineRule="auto"/>
        <w:rPr>
          <w:sz w:val="18"/>
          <w:szCs w:val="18"/>
        </w:rPr>
      </w:pPr>
      <w:r w:rsidRPr="009B1BB3">
        <w:rPr>
          <w:sz w:val="18"/>
          <w:szCs w:val="18"/>
        </w:rPr>
        <w:t>Department of Economics, Federal</w:t>
      </w:r>
      <w:r w:rsidR="00E938E1" w:rsidRPr="009B1BB3">
        <w:rPr>
          <w:sz w:val="18"/>
          <w:szCs w:val="18"/>
        </w:rPr>
        <w:t xml:space="preserve"> U</w:t>
      </w:r>
      <w:r w:rsidRPr="009B1BB3">
        <w:rPr>
          <w:sz w:val="18"/>
          <w:szCs w:val="18"/>
        </w:rPr>
        <w:t xml:space="preserve">niversity </w:t>
      </w:r>
      <w:proofErr w:type="spellStart"/>
      <w:r w:rsidRPr="009B1BB3">
        <w:rPr>
          <w:sz w:val="18"/>
          <w:szCs w:val="18"/>
        </w:rPr>
        <w:t>Wukari</w:t>
      </w:r>
      <w:proofErr w:type="spellEnd"/>
      <w:r w:rsidRPr="009B1BB3">
        <w:rPr>
          <w:sz w:val="18"/>
          <w:szCs w:val="18"/>
        </w:rPr>
        <w:t>, Taraba State</w:t>
      </w:r>
      <w:r w:rsidRPr="009B1BB3">
        <w:rPr>
          <w:rFonts w:hint="eastAsia"/>
          <w:sz w:val="18"/>
          <w:szCs w:val="18"/>
          <w:lang w:eastAsia="zh-CN"/>
        </w:rPr>
        <w:t>,</w:t>
      </w:r>
      <w:r w:rsidRPr="009B1BB3">
        <w:rPr>
          <w:sz w:val="18"/>
          <w:szCs w:val="18"/>
        </w:rPr>
        <w:t xml:space="preserve"> </w:t>
      </w:r>
      <w:proofErr w:type="spellStart"/>
      <w:r w:rsidRPr="009B1BB3">
        <w:rPr>
          <w:rFonts w:hint="eastAsia"/>
          <w:sz w:val="18"/>
          <w:szCs w:val="18"/>
          <w:lang w:eastAsia="zh-CN"/>
        </w:rPr>
        <w:t>Wukari</w:t>
      </w:r>
      <w:proofErr w:type="spellEnd"/>
      <w:r w:rsidRPr="009B1BB3">
        <w:rPr>
          <w:rFonts w:hint="eastAsia"/>
          <w:sz w:val="18"/>
          <w:szCs w:val="18"/>
          <w:lang w:eastAsia="zh-CN"/>
        </w:rPr>
        <w:t xml:space="preserve"> </w:t>
      </w:r>
      <w:r w:rsidRPr="009B1BB3">
        <w:rPr>
          <w:sz w:val="18"/>
          <w:szCs w:val="18"/>
        </w:rPr>
        <w:t>660001</w:t>
      </w:r>
      <w:r w:rsidRPr="009B1BB3">
        <w:rPr>
          <w:rFonts w:hint="eastAsia"/>
          <w:sz w:val="18"/>
          <w:szCs w:val="18"/>
          <w:lang w:eastAsia="zh-CN"/>
        </w:rPr>
        <w:t>,</w:t>
      </w:r>
      <w:r w:rsidRPr="009B1BB3">
        <w:rPr>
          <w:sz w:val="18"/>
          <w:szCs w:val="18"/>
        </w:rPr>
        <w:t xml:space="preserve"> Nigeria</w:t>
      </w:r>
    </w:p>
    <w:p w14:paraId="3D565C26" w14:textId="3D51E796" w:rsidR="00BF0F78" w:rsidRPr="009B1BB3" w:rsidRDefault="00000000">
      <w:pPr>
        <w:widowControl w:val="0"/>
        <w:pBdr>
          <w:bottom w:val="single" w:sz="4" w:space="1" w:color="auto"/>
        </w:pBdr>
        <w:overflowPunct w:val="0"/>
        <w:adjustRightInd w:val="0"/>
        <w:snapToGrid w:val="0"/>
        <w:spacing w:after="360" w:line="288" w:lineRule="auto"/>
        <w:rPr>
          <w:i/>
          <w:sz w:val="18"/>
          <w:szCs w:val="18"/>
        </w:rPr>
      </w:pPr>
      <w:bookmarkStart w:id="1" w:name="_Hlk153805490"/>
      <w:r w:rsidRPr="009B1BB3">
        <w:rPr>
          <w:b/>
          <w:bCs/>
          <w:iCs/>
          <w:sz w:val="18"/>
          <w:szCs w:val="18"/>
        </w:rPr>
        <w:t>*</w:t>
      </w:r>
      <w:r w:rsidRPr="009B1BB3">
        <w:rPr>
          <w:iCs/>
          <w:sz w:val="18"/>
          <w:szCs w:val="18"/>
        </w:rPr>
        <w:t xml:space="preserve"> </w:t>
      </w:r>
      <w:r w:rsidRPr="009B1BB3">
        <w:rPr>
          <w:b/>
          <w:bCs/>
          <w:iCs/>
          <w:sz w:val="18"/>
          <w:szCs w:val="18"/>
        </w:rPr>
        <w:t>Corresponding author:</w:t>
      </w:r>
      <w:r w:rsidRPr="009B1BB3">
        <w:rPr>
          <w:iCs/>
          <w:sz w:val="18"/>
          <w:szCs w:val="18"/>
        </w:rPr>
        <w:t xml:space="preserve"> </w:t>
      </w:r>
      <w:r w:rsidRPr="009B1BB3">
        <w:rPr>
          <w:bCs/>
          <w:sz w:val="18"/>
          <w:szCs w:val="18"/>
        </w:rPr>
        <w:t xml:space="preserve">Samson Adeniyi </w:t>
      </w:r>
      <w:proofErr w:type="spellStart"/>
      <w:r w:rsidRPr="009B1BB3">
        <w:rPr>
          <w:bCs/>
          <w:sz w:val="18"/>
          <w:szCs w:val="18"/>
        </w:rPr>
        <w:t>Aladejare</w:t>
      </w:r>
      <w:proofErr w:type="spellEnd"/>
      <w:r w:rsidRPr="009B1BB3">
        <w:rPr>
          <w:bCs/>
          <w:sz w:val="18"/>
          <w:szCs w:val="18"/>
          <w:lang w:eastAsia="zh-CN"/>
        </w:rPr>
        <w:t>,</w:t>
      </w:r>
      <w:r w:rsidRPr="009B1BB3">
        <w:rPr>
          <w:iCs/>
          <w:sz w:val="18"/>
          <w:szCs w:val="18"/>
        </w:rPr>
        <w:t xml:space="preserve"> aladejare4reel2000@gmail.com</w:t>
      </w:r>
    </w:p>
    <w:bookmarkEnd w:id="1"/>
    <w:p w14:paraId="27B7192C" w14:textId="294267D8" w:rsidR="00BF0F78" w:rsidRPr="00880C92" w:rsidRDefault="00000000" w:rsidP="00880C92">
      <w:pPr>
        <w:widowControl w:val="0"/>
        <w:overflowPunct w:val="0"/>
        <w:autoSpaceDE w:val="0"/>
        <w:autoSpaceDN w:val="0"/>
        <w:adjustRightInd w:val="0"/>
        <w:snapToGrid w:val="0"/>
        <w:spacing w:before="240" w:after="120" w:line="288" w:lineRule="auto"/>
        <w:ind w:left="2948"/>
        <w:jc w:val="both"/>
        <w:rPr>
          <w:rFonts w:hint="eastAsia"/>
          <w:sz w:val="20"/>
          <w:lang w:eastAsia="zh-CN"/>
        </w:rPr>
      </w:pPr>
      <w:r w:rsidRPr="009B1BB3">
        <w:rPr>
          <w:iCs/>
          <w:noProof/>
          <w:sz w:val="20"/>
          <w:szCs w:val="20"/>
          <w:lang w:eastAsia="en-GB"/>
          <w14:ligatures w14:val="standardContextual"/>
        </w:rPr>
        <mc:AlternateContent>
          <mc:Choice Requires="wps">
            <w:drawing>
              <wp:anchor distT="45720" distB="45720" distL="114300" distR="114300" simplePos="0" relativeHeight="251659264" behindDoc="0" locked="0" layoutInCell="1" allowOverlap="1" wp14:anchorId="361B900B" wp14:editId="5A71B6BC">
                <wp:simplePos x="0" y="0"/>
                <wp:positionH relativeFrom="margin">
                  <wp:posOffset>0</wp:posOffset>
                </wp:positionH>
                <wp:positionV relativeFrom="paragraph">
                  <wp:posOffset>50165</wp:posOffset>
                </wp:positionV>
                <wp:extent cx="1727835" cy="4479290"/>
                <wp:effectExtent l="0" t="0" r="0" b="1651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4479290"/>
                        </a:xfrm>
                        <a:prstGeom prst="rect">
                          <a:avLst/>
                        </a:prstGeom>
                        <a:noFill/>
                        <a:ln>
                          <a:noFill/>
                        </a:ln>
                      </wps:spPr>
                      <wps:txbx>
                        <w:txbxContent>
                          <w:p w14:paraId="178FFB1C" w14:textId="77777777" w:rsidR="00BF0F78" w:rsidRPr="009B1BB3" w:rsidRDefault="00000000">
                            <w:pPr>
                              <w:pBdr>
                                <w:bottom w:val="single" w:sz="4" w:space="1" w:color="auto"/>
                              </w:pBdr>
                              <w:adjustRightInd w:val="0"/>
                              <w:snapToGrid w:val="0"/>
                              <w:spacing w:after="120" w:line="240" w:lineRule="auto"/>
                              <w:rPr>
                                <w:rFonts w:eastAsia="Calibri"/>
                                <w:b/>
                                <w:sz w:val="16"/>
                                <w:szCs w:val="16"/>
                              </w:rPr>
                            </w:pPr>
                            <w:r w:rsidRPr="009B1BB3">
                              <w:rPr>
                                <w:rFonts w:eastAsia="Calibri"/>
                                <w:b/>
                                <w:sz w:val="16"/>
                                <w:szCs w:val="16"/>
                              </w:rPr>
                              <w:t>CITATION</w:t>
                            </w:r>
                          </w:p>
                          <w:p w14:paraId="2D76423F" w14:textId="3AE0B606" w:rsidR="00BF0F78" w:rsidRPr="009B1BB3" w:rsidRDefault="00000000">
                            <w:pPr>
                              <w:adjustRightInd w:val="0"/>
                              <w:snapToGrid w:val="0"/>
                              <w:spacing w:after="0" w:line="288" w:lineRule="auto"/>
                              <w:rPr>
                                <w:bCs/>
                                <w:iCs/>
                                <w:sz w:val="16"/>
                                <w:szCs w:val="16"/>
                              </w:rPr>
                            </w:pPr>
                            <w:r w:rsidRPr="009B1BB3">
                              <w:rPr>
                                <w:sz w:val="16"/>
                                <w:szCs w:val="16"/>
                              </w:rPr>
                              <w:t xml:space="preserve">Yakubu MI, Aladejare SA. </w:t>
                            </w:r>
                            <w:r w:rsidR="0012184B" w:rsidRPr="0012184B">
                              <w:rPr>
                                <w:sz w:val="16"/>
                                <w:szCs w:val="16"/>
                              </w:rPr>
                              <w:t>Does economic growth, external debt, and institutional quality promote poverty and income inequality in Nigeria?</w:t>
                            </w:r>
                            <w:r w:rsidR="0012184B">
                              <w:rPr>
                                <w:rFonts w:hint="eastAsia"/>
                                <w:sz w:val="16"/>
                                <w:szCs w:val="16"/>
                                <w:lang w:eastAsia="zh-CN"/>
                              </w:rPr>
                              <w:t>.</w:t>
                            </w:r>
                            <w:r w:rsidRPr="009B1BB3">
                              <w:rPr>
                                <w:sz w:val="16"/>
                                <w:szCs w:val="16"/>
                              </w:rPr>
                              <w:t xml:space="preserve"> </w:t>
                            </w:r>
                            <w:r w:rsidRPr="009B1BB3">
                              <w:rPr>
                                <w:bCs/>
                                <w:iCs/>
                                <w:sz w:val="16"/>
                                <w:szCs w:val="16"/>
                              </w:rPr>
                              <w:t xml:space="preserve">Forum for Economic and Financial Studies. 2024; </w:t>
                            </w:r>
                            <w:r w:rsidR="00E3609C">
                              <w:rPr>
                                <w:rFonts w:hint="eastAsia"/>
                                <w:bCs/>
                                <w:iCs/>
                                <w:sz w:val="16"/>
                                <w:szCs w:val="16"/>
                                <w:lang w:eastAsia="zh-CN"/>
                              </w:rPr>
                              <w:t>2</w:t>
                            </w:r>
                            <w:r w:rsidRPr="009B1BB3">
                              <w:rPr>
                                <w:bCs/>
                                <w:iCs/>
                                <w:sz w:val="16"/>
                                <w:szCs w:val="16"/>
                              </w:rPr>
                              <w:t>(</w:t>
                            </w:r>
                            <w:r w:rsidR="00E3609C">
                              <w:rPr>
                                <w:rFonts w:hint="eastAsia"/>
                                <w:bCs/>
                                <w:iCs/>
                                <w:sz w:val="16"/>
                                <w:szCs w:val="16"/>
                                <w:lang w:eastAsia="zh-CN"/>
                              </w:rPr>
                              <w:t>3</w:t>
                            </w:r>
                            <w:r w:rsidRPr="009B1BB3">
                              <w:rPr>
                                <w:bCs/>
                                <w:iCs/>
                                <w:sz w:val="16"/>
                                <w:szCs w:val="16"/>
                              </w:rPr>
                              <w:t>): 1806.</w:t>
                            </w:r>
                          </w:p>
                          <w:p w14:paraId="6DF020C7" w14:textId="21BBF2DE" w:rsidR="00BF0F78" w:rsidRPr="009B1BB3" w:rsidRDefault="00000000">
                            <w:pPr>
                              <w:adjustRightInd w:val="0"/>
                              <w:snapToGrid w:val="0"/>
                              <w:spacing w:after="0" w:line="288" w:lineRule="auto"/>
                              <w:rPr>
                                <w:sz w:val="16"/>
                                <w:szCs w:val="16"/>
                              </w:rPr>
                            </w:pPr>
                            <w:r w:rsidRPr="009B1BB3">
                              <w:rPr>
                                <w:bCs/>
                                <w:iCs/>
                                <w:sz w:val="16"/>
                                <w:szCs w:val="16"/>
                              </w:rPr>
                              <w:t>https://doi.org/10.59400/fe</w:t>
                            </w:r>
                            <w:r w:rsidR="004121F9">
                              <w:rPr>
                                <w:rFonts w:hint="eastAsia"/>
                                <w:bCs/>
                                <w:iCs/>
                                <w:sz w:val="16"/>
                                <w:szCs w:val="16"/>
                                <w:lang w:eastAsia="zh-CN"/>
                              </w:rPr>
                              <w:t>f</w:t>
                            </w:r>
                            <w:r w:rsidRPr="009B1BB3">
                              <w:rPr>
                                <w:bCs/>
                                <w:iCs/>
                                <w:sz w:val="16"/>
                                <w:szCs w:val="16"/>
                              </w:rPr>
                              <w:t>s1806</w:t>
                            </w:r>
                          </w:p>
                          <w:p w14:paraId="4A81312E" w14:textId="77777777" w:rsidR="00BF0F78" w:rsidRPr="009B1BB3" w:rsidRDefault="00000000">
                            <w:pPr>
                              <w:pBdr>
                                <w:bottom w:val="single" w:sz="4" w:space="1" w:color="auto"/>
                              </w:pBdr>
                              <w:adjustRightInd w:val="0"/>
                              <w:snapToGrid w:val="0"/>
                              <w:spacing w:before="240" w:after="120" w:line="240" w:lineRule="auto"/>
                              <w:rPr>
                                <w:rFonts w:eastAsia="Calibri"/>
                                <w:b/>
                                <w:sz w:val="16"/>
                                <w:szCs w:val="16"/>
                              </w:rPr>
                            </w:pPr>
                            <w:r w:rsidRPr="009B1BB3">
                              <w:rPr>
                                <w:rFonts w:eastAsia="Calibri"/>
                                <w:b/>
                                <w:sz w:val="16"/>
                                <w:szCs w:val="16"/>
                              </w:rPr>
                              <w:t>ARTICLE INFO</w:t>
                            </w:r>
                          </w:p>
                          <w:p w14:paraId="5948A0AE" w14:textId="0D387FAC" w:rsidR="00BF0F78" w:rsidRPr="009B1BB3" w:rsidRDefault="00000000">
                            <w:pPr>
                              <w:adjustRightInd w:val="0"/>
                              <w:snapToGrid w:val="0"/>
                              <w:spacing w:after="0" w:line="288" w:lineRule="auto"/>
                              <w:rPr>
                                <w:sz w:val="16"/>
                                <w:szCs w:val="16"/>
                              </w:rPr>
                            </w:pPr>
                            <w:r w:rsidRPr="009B1BB3">
                              <w:rPr>
                                <w:sz w:val="16"/>
                                <w:szCs w:val="16"/>
                              </w:rPr>
                              <w:t xml:space="preserve">Received: 29 </w:t>
                            </w:r>
                            <w:r w:rsidR="00210975">
                              <w:rPr>
                                <w:sz w:val="16"/>
                                <w:szCs w:val="16"/>
                                <w:lang w:eastAsia="zh-CN"/>
                              </w:rPr>
                              <w:t>July</w:t>
                            </w:r>
                            <w:r w:rsidR="00210975">
                              <w:rPr>
                                <w:rFonts w:hint="eastAsia"/>
                                <w:sz w:val="16"/>
                                <w:szCs w:val="16"/>
                                <w:lang w:eastAsia="zh-CN"/>
                              </w:rPr>
                              <w:t xml:space="preserve"> </w:t>
                            </w:r>
                            <w:r w:rsidRPr="009B1BB3">
                              <w:rPr>
                                <w:sz w:val="16"/>
                                <w:szCs w:val="16"/>
                              </w:rPr>
                              <w:t>2024</w:t>
                            </w:r>
                          </w:p>
                          <w:p w14:paraId="52490D6C" w14:textId="05FD75E7" w:rsidR="00BF0F78" w:rsidRPr="00901906" w:rsidRDefault="00000000">
                            <w:pPr>
                              <w:adjustRightInd w:val="0"/>
                              <w:snapToGrid w:val="0"/>
                              <w:spacing w:after="0" w:line="288" w:lineRule="auto"/>
                              <w:rPr>
                                <w:color w:val="0D0D0D" w:themeColor="text1" w:themeTint="F2"/>
                                <w:sz w:val="16"/>
                                <w:szCs w:val="16"/>
                              </w:rPr>
                            </w:pPr>
                            <w:r w:rsidRPr="009B1BB3">
                              <w:rPr>
                                <w:sz w:val="16"/>
                                <w:szCs w:val="16"/>
                              </w:rPr>
                              <w:t xml:space="preserve">Accepted: </w:t>
                            </w:r>
                            <w:r w:rsidR="00210975">
                              <w:rPr>
                                <w:rFonts w:hint="eastAsia"/>
                                <w:color w:val="0D0D0D" w:themeColor="text1" w:themeTint="F2"/>
                                <w:sz w:val="16"/>
                                <w:szCs w:val="16"/>
                                <w:lang w:eastAsia="zh-CN"/>
                              </w:rPr>
                              <w:t>12</w:t>
                            </w:r>
                            <w:r w:rsidRPr="00901906">
                              <w:rPr>
                                <w:color w:val="0D0D0D" w:themeColor="text1" w:themeTint="F2"/>
                                <w:sz w:val="16"/>
                                <w:szCs w:val="16"/>
                              </w:rPr>
                              <w:t xml:space="preserve"> </w:t>
                            </w:r>
                            <w:r w:rsidR="00210975">
                              <w:rPr>
                                <w:rFonts w:hint="eastAsia"/>
                                <w:color w:val="0D0D0D" w:themeColor="text1" w:themeTint="F2"/>
                                <w:sz w:val="16"/>
                                <w:szCs w:val="16"/>
                                <w:lang w:eastAsia="zh-CN"/>
                              </w:rPr>
                              <w:t xml:space="preserve">September </w:t>
                            </w:r>
                            <w:r w:rsidRPr="00901906">
                              <w:rPr>
                                <w:color w:val="0D0D0D" w:themeColor="text1" w:themeTint="F2"/>
                                <w:sz w:val="16"/>
                                <w:szCs w:val="16"/>
                              </w:rPr>
                              <w:t>2024</w:t>
                            </w:r>
                          </w:p>
                          <w:p w14:paraId="0339B0DB" w14:textId="50310823" w:rsidR="00BF0F78" w:rsidRPr="009B1BB3" w:rsidRDefault="00000000">
                            <w:pPr>
                              <w:adjustRightInd w:val="0"/>
                              <w:snapToGrid w:val="0"/>
                              <w:spacing w:after="0" w:line="288" w:lineRule="auto"/>
                              <w:rPr>
                                <w:sz w:val="16"/>
                                <w:szCs w:val="16"/>
                              </w:rPr>
                            </w:pPr>
                            <w:r w:rsidRPr="00901906">
                              <w:rPr>
                                <w:color w:val="0D0D0D" w:themeColor="text1" w:themeTint="F2"/>
                                <w:sz w:val="16"/>
                                <w:szCs w:val="16"/>
                              </w:rPr>
                              <w:t xml:space="preserve">Available online: </w:t>
                            </w:r>
                            <w:r w:rsidR="00210975">
                              <w:rPr>
                                <w:rFonts w:hint="eastAsia"/>
                                <w:color w:val="0D0D0D" w:themeColor="text1" w:themeTint="F2"/>
                                <w:sz w:val="16"/>
                                <w:szCs w:val="16"/>
                                <w:lang w:eastAsia="zh-CN"/>
                              </w:rPr>
                              <w:t xml:space="preserve">29 September </w:t>
                            </w:r>
                            <w:r w:rsidRPr="00901906">
                              <w:rPr>
                                <w:color w:val="0D0D0D" w:themeColor="text1" w:themeTint="F2"/>
                                <w:sz w:val="16"/>
                                <w:szCs w:val="16"/>
                              </w:rPr>
                              <w:t>202</w:t>
                            </w:r>
                            <w:r w:rsidRPr="009B1BB3">
                              <w:rPr>
                                <w:sz w:val="16"/>
                                <w:szCs w:val="16"/>
                              </w:rPr>
                              <w:t>4</w:t>
                            </w:r>
                          </w:p>
                          <w:p w14:paraId="27FB9DE7" w14:textId="77777777" w:rsidR="00BF0F78" w:rsidRPr="009B1BB3" w:rsidRDefault="00000000">
                            <w:pPr>
                              <w:pBdr>
                                <w:bottom w:val="single" w:sz="4" w:space="1" w:color="auto"/>
                              </w:pBdr>
                              <w:adjustRightInd w:val="0"/>
                              <w:snapToGrid w:val="0"/>
                              <w:spacing w:before="240" w:after="120" w:line="240" w:lineRule="auto"/>
                              <w:rPr>
                                <w:rFonts w:eastAsia="Calibri"/>
                                <w:b/>
                                <w:sz w:val="16"/>
                                <w:szCs w:val="16"/>
                              </w:rPr>
                            </w:pPr>
                            <w:r w:rsidRPr="009B1BB3">
                              <w:rPr>
                                <w:rFonts w:eastAsia="Calibri"/>
                                <w:b/>
                                <w:sz w:val="16"/>
                                <w:szCs w:val="16"/>
                              </w:rPr>
                              <w:t>COPYRIGHT</w:t>
                            </w:r>
                            <w:bookmarkStart w:id="2" w:name="_Hlk138840665"/>
                            <w:bookmarkStart w:id="3" w:name="_Hlk138840737"/>
                            <w:bookmarkStart w:id="4" w:name="_Hlk138840666"/>
                            <w:bookmarkStart w:id="5" w:name="_Hlk138840736"/>
                          </w:p>
                          <w:p w14:paraId="69CB4DD9" w14:textId="77777777" w:rsidR="00BF0F78" w:rsidRPr="009B1BB3" w:rsidRDefault="00000000">
                            <w:pPr>
                              <w:adjustRightInd w:val="0"/>
                              <w:snapToGrid w:val="0"/>
                              <w:spacing w:after="0" w:line="260" w:lineRule="atLeast"/>
                              <w:rPr>
                                <w:iCs/>
                                <w:sz w:val="16"/>
                                <w:szCs w:val="16"/>
                              </w:rPr>
                            </w:pPr>
                            <w:r w:rsidRPr="009B1BB3">
                              <w:rPr>
                                <w:iCs/>
                                <w:noProof/>
                                <w:sz w:val="16"/>
                                <w:szCs w:val="16"/>
                                <w:lang w:eastAsia="en-GB"/>
                              </w:rPr>
                              <w:drawing>
                                <wp:inline distT="0" distB="0" distL="0" distR="0" wp14:anchorId="2B848646" wp14:editId="16200280">
                                  <wp:extent cx="760730" cy="266065"/>
                                  <wp:effectExtent l="0" t="0" r="1270" b="635"/>
                                  <wp:docPr id="1931445003" name="图片 1931445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621185" name="图片 114862118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806168" cy="282059"/>
                                          </a:xfrm>
                                          <a:prstGeom prst="rect">
                                            <a:avLst/>
                                          </a:prstGeom>
                                        </pic:spPr>
                                      </pic:pic>
                                    </a:graphicData>
                                  </a:graphic>
                                </wp:inline>
                              </w:drawing>
                            </w:r>
                          </w:p>
                          <w:p w14:paraId="10439951" w14:textId="77777777" w:rsidR="00BF0F78" w:rsidRPr="009B1BB3" w:rsidRDefault="00000000">
                            <w:pPr>
                              <w:adjustRightInd w:val="0"/>
                              <w:snapToGrid w:val="0"/>
                              <w:spacing w:after="0" w:line="288" w:lineRule="auto"/>
                              <w:rPr>
                                <w:sz w:val="16"/>
                                <w:szCs w:val="16"/>
                              </w:rPr>
                            </w:pPr>
                            <w:r w:rsidRPr="009B1BB3">
                              <w:rPr>
                                <w:iCs/>
                                <w:sz w:val="16"/>
                                <w:szCs w:val="16"/>
                              </w:rPr>
                              <w:t>Copyright © 2024 by author(s).</w:t>
                            </w:r>
                          </w:p>
                          <w:p w14:paraId="0C5D80E3" w14:textId="77777777" w:rsidR="00BF0F78" w:rsidRPr="009B1BB3" w:rsidRDefault="00000000">
                            <w:pPr>
                              <w:adjustRightInd w:val="0"/>
                              <w:snapToGrid w:val="0"/>
                              <w:spacing w:after="0" w:line="288" w:lineRule="auto"/>
                              <w:rPr>
                                <w:sz w:val="16"/>
                                <w:szCs w:val="16"/>
                              </w:rPr>
                            </w:pPr>
                            <w:r w:rsidRPr="009B1BB3">
                              <w:rPr>
                                <w:bCs/>
                                <w:i/>
                                <w:iCs/>
                                <w:sz w:val="16"/>
                                <w:szCs w:val="16"/>
                              </w:rPr>
                              <w:t>Forum for Education Studies</w:t>
                            </w:r>
                            <w:r w:rsidRPr="009B1BB3">
                              <w:rPr>
                                <w:sz w:val="16"/>
                                <w:szCs w:val="16"/>
                              </w:rPr>
                              <w:t xml:space="preserve"> is published by Academic Publishing Pte. Ltd. This work is licensed under the Creative Commons Attribution (CC BY) license.</w:t>
                            </w:r>
                          </w:p>
                          <w:p w14:paraId="67394D1C" w14:textId="77777777" w:rsidR="00BF0F78" w:rsidRPr="009B1BB3" w:rsidRDefault="00000000">
                            <w:pPr>
                              <w:adjustRightInd w:val="0"/>
                              <w:snapToGrid w:val="0"/>
                              <w:spacing w:after="0" w:line="288" w:lineRule="auto"/>
                              <w:rPr>
                                <w:sz w:val="16"/>
                                <w:szCs w:val="16"/>
                              </w:rPr>
                            </w:pPr>
                            <w:r w:rsidRPr="009B1BB3">
                              <w:rPr>
                                <w:sz w:val="16"/>
                                <w:szCs w:val="16"/>
                              </w:rPr>
                              <w:t>https://creativecommons.org/licenses/by/4.0/</w:t>
                            </w:r>
                            <w:bookmarkEnd w:id="2"/>
                            <w:bookmarkEnd w:id="3"/>
                            <w:bookmarkEnd w:id="4"/>
                            <w:bookmarkEnd w:id="5"/>
                          </w:p>
                        </w:txbxContent>
                      </wps:txbx>
                      <wps:bodyPr rot="0" vert="horz" wrap="square" lIns="0" tIns="0" rIns="180000" bIns="0" anchor="t" anchorCtr="0" upright="1">
                        <a:noAutofit/>
                      </wps:bodyPr>
                    </wps:wsp>
                  </a:graphicData>
                </a:graphic>
              </wp:anchor>
            </w:drawing>
          </mc:Choice>
          <mc:Fallback>
            <w:pict>
              <v:shapetype w14:anchorId="361B900B" id="_x0000_t202" coordsize="21600,21600" o:spt="202" path="m,l,21600r21600,l21600,xe">
                <v:stroke joinstyle="miter"/>
                <v:path gradientshapeok="t" o:connecttype="rect"/>
              </v:shapetype>
              <v:shape id="Text Box 2" o:spid="_x0000_s1026" type="#_x0000_t202" style="position:absolute;left:0;text-align:left;margin-left:0;margin-top:3.95pt;width:136.05pt;height:352.7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" filled="f" stroked="f">
                <v:textbox inset="0,0,5mm,0">
                  <w:txbxContent>
                    <w:p w14:paraId="178FFB1C" w14:textId="77777777" w:rsidR="00BF0F78" w:rsidRPr="009B1BB3" w:rsidRDefault="00000000">
                      <w:pPr>
                        <w:pBdr>
                          <w:bottom w:val="single" w:sz="4" w:space="1" w:color="auto"/>
                        </w:pBdr>
                        <w:adjustRightInd w:val="0"/>
                        <w:snapToGrid w:val="0"/>
                        <w:spacing w:after="120" w:line="240" w:lineRule="auto"/>
                        <w:rPr>
                          <w:rFonts w:eastAsia="Calibri"/>
                          <w:b/>
                          <w:sz w:val="16"/>
                          <w:szCs w:val="16"/>
                        </w:rPr>
                      </w:pPr>
                      <w:r w:rsidRPr="009B1BB3">
                        <w:rPr>
                          <w:rFonts w:eastAsia="Calibri"/>
                          <w:b/>
                          <w:sz w:val="16"/>
                          <w:szCs w:val="16"/>
                        </w:rPr>
                        <w:t>CITATION</w:t>
                      </w:r>
                    </w:p>
                    <w:p w14:paraId="2D76423F" w14:textId="3AE0B606" w:rsidR="00BF0F78" w:rsidRPr="009B1BB3" w:rsidRDefault="00000000">
                      <w:pPr>
                        <w:adjustRightInd w:val="0"/>
                        <w:snapToGrid w:val="0"/>
                        <w:spacing w:after="0" w:line="288" w:lineRule="auto"/>
                        <w:rPr>
                          <w:bCs/>
                          <w:iCs/>
                          <w:sz w:val="16"/>
                          <w:szCs w:val="16"/>
                        </w:rPr>
                      </w:pPr>
                      <w:r w:rsidRPr="009B1BB3">
                        <w:rPr>
                          <w:sz w:val="16"/>
                          <w:szCs w:val="16"/>
                        </w:rPr>
                        <w:t xml:space="preserve">Yakubu MI, Aladejare SA. </w:t>
                      </w:r>
                      <w:r w:rsidR="0012184B" w:rsidRPr="0012184B">
                        <w:rPr>
                          <w:sz w:val="16"/>
                          <w:szCs w:val="16"/>
                        </w:rPr>
                        <w:t>Does economic growth, external debt, and institutional quality promote poverty and income inequality in Nigeria?</w:t>
                      </w:r>
                      <w:r w:rsidR="0012184B">
                        <w:rPr>
                          <w:rFonts w:hint="eastAsia"/>
                          <w:sz w:val="16"/>
                          <w:szCs w:val="16"/>
                          <w:lang w:eastAsia="zh-CN"/>
                        </w:rPr>
                        <w:t>.</w:t>
                      </w:r>
                      <w:r w:rsidRPr="009B1BB3">
                        <w:rPr>
                          <w:sz w:val="16"/>
                          <w:szCs w:val="16"/>
                        </w:rPr>
                        <w:t xml:space="preserve"> </w:t>
                      </w:r>
                      <w:r w:rsidRPr="009B1BB3">
                        <w:rPr>
                          <w:bCs/>
                          <w:iCs/>
                          <w:sz w:val="16"/>
                          <w:szCs w:val="16"/>
                        </w:rPr>
                        <w:t xml:space="preserve">Forum for Economic and Financial Studies. 2024; </w:t>
                      </w:r>
                      <w:r w:rsidR="00E3609C">
                        <w:rPr>
                          <w:rFonts w:hint="eastAsia"/>
                          <w:bCs/>
                          <w:iCs/>
                          <w:sz w:val="16"/>
                          <w:szCs w:val="16"/>
                          <w:lang w:eastAsia="zh-CN"/>
                        </w:rPr>
                        <w:t>2</w:t>
                      </w:r>
                      <w:r w:rsidRPr="009B1BB3">
                        <w:rPr>
                          <w:bCs/>
                          <w:iCs/>
                          <w:sz w:val="16"/>
                          <w:szCs w:val="16"/>
                        </w:rPr>
                        <w:t>(</w:t>
                      </w:r>
                      <w:r w:rsidR="00E3609C">
                        <w:rPr>
                          <w:rFonts w:hint="eastAsia"/>
                          <w:bCs/>
                          <w:iCs/>
                          <w:sz w:val="16"/>
                          <w:szCs w:val="16"/>
                          <w:lang w:eastAsia="zh-CN"/>
                        </w:rPr>
                        <w:t>3</w:t>
                      </w:r>
                      <w:r w:rsidRPr="009B1BB3">
                        <w:rPr>
                          <w:bCs/>
                          <w:iCs/>
                          <w:sz w:val="16"/>
                          <w:szCs w:val="16"/>
                        </w:rPr>
                        <w:t>): 1806.</w:t>
                      </w:r>
                    </w:p>
                    <w:p w14:paraId="6DF020C7" w14:textId="21BBF2DE" w:rsidR="00BF0F78" w:rsidRPr="009B1BB3" w:rsidRDefault="00000000">
                      <w:pPr>
                        <w:adjustRightInd w:val="0"/>
                        <w:snapToGrid w:val="0"/>
                        <w:spacing w:after="0" w:line="288" w:lineRule="auto"/>
                        <w:rPr>
                          <w:sz w:val="16"/>
                          <w:szCs w:val="16"/>
                        </w:rPr>
                      </w:pPr>
                      <w:r w:rsidRPr="009B1BB3">
                        <w:rPr>
                          <w:bCs/>
                          <w:iCs/>
                          <w:sz w:val="16"/>
                          <w:szCs w:val="16"/>
                        </w:rPr>
                        <w:t>https://doi.org/10.59400/fe</w:t>
                      </w:r>
                      <w:r w:rsidR="004121F9">
                        <w:rPr>
                          <w:rFonts w:hint="eastAsia"/>
                          <w:bCs/>
                          <w:iCs/>
                          <w:sz w:val="16"/>
                          <w:szCs w:val="16"/>
                          <w:lang w:eastAsia="zh-CN"/>
                        </w:rPr>
                        <w:t>f</w:t>
                      </w:r>
                      <w:r w:rsidRPr="009B1BB3">
                        <w:rPr>
                          <w:bCs/>
                          <w:iCs/>
                          <w:sz w:val="16"/>
                          <w:szCs w:val="16"/>
                        </w:rPr>
                        <w:t>s1806</w:t>
                      </w:r>
                    </w:p>
                    <w:p w14:paraId="4A81312E" w14:textId="77777777" w:rsidR="00BF0F78" w:rsidRPr="009B1BB3" w:rsidRDefault="00000000">
                      <w:pPr>
                        <w:pBdr>
                          <w:bottom w:val="single" w:sz="4" w:space="1" w:color="auto"/>
                        </w:pBdr>
                        <w:adjustRightInd w:val="0"/>
                        <w:snapToGrid w:val="0"/>
                        <w:spacing w:before="240" w:after="120" w:line="240" w:lineRule="auto"/>
                        <w:rPr>
                          <w:rFonts w:eastAsia="Calibri"/>
                          <w:b/>
                          <w:sz w:val="16"/>
                          <w:szCs w:val="16"/>
                        </w:rPr>
                      </w:pPr>
                      <w:r w:rsidRPr="009B1BB3">
                        <w:rPr>
                          <w:rFonts w:eastAsia="Calibri"/>
                          <w:b/>
                          <w:sz w:val="16"/>
                          <w:szCs w:val="16"/>
                        </w:rPr>
                        <w:t>ARTICLE INFO</w:t>
                      </w:r>
                    </w:p>
                    <w:p w14:paraId="5948A0AE" w14:textId="0D387FAC" w:rsidR="00BF0F78" w:rsidRPr="009B1BB3" w:rsidRDefault="00000000">
                      <w:pPr>
                        <w:adjustRightInd w:val="0"/>
                        <w:snapToGrid w:val="0"/>
                        <w:spacing w:after="0" w:line="288" w:lineRule="auto"/>
                        <w:rPr>
                          <w:sz w:val="16"/>
                          <w:szCs w:val="16"/>
                        </w:rPr>
                      </w:pPr>
                      <w:r w:rsidRPr="009B1BB3">
                        <w:rPr>
                          <w:sz w:val="16"/>
                          <w:szCs w:val="16"/>
                        </w:rPr>
                        <w:t xml:space="preserve">Received: 29 </w:t>
                      </w:r>
                      <w:r w:rsidR="00210975">
                        <w:rPr>
                          <w:sz w:val="16"/>
                          <w:szCs w:val="16"/>
                          <w:lang w:eastAsia="zh-CN"/>
                        </w:rPr>
                        <w:t>July</w:t>
                      </w:r>
                      <w:r w:rsidR="00210975">
                        <w:rPr>
                          <w:rFonts w:hint="eastAsia"/>
                          <w:sz w:val="16"/>
                          <w:szCs w:val="16"/>
                          <w:lang w:eastAsia="zh-CN"/>
                        </w:rPr>
                        <w:t xml:space="preserve"> </w:t>
                      </w:r>
                      <w:r w:rsidRPr="009B1BB3">
                        <w:rPr>
                          <w:sz w:val="16"/>
                          <w:szCs w:val="16"/>
                        </w:rPr>
                        <w:t>2024</w:t>
                      </w:r>
                    </w:p>
                    <w:p w14:paraId="52490D6C" w14:textId="05FD75E7" w:rsidR="00BF0F78" w:rsidRPr="00901906" w:rsidRDefault="00000000">
                      <w:pPr>
                        <w:adjustRightInd w:val="0"/>
                        <w:snapToGrid w:val="0"/>
                        <w:spacing w:after="0" w:line="288" w:lineRule="auto"/>
                        <w:rPr>
                          <w:color w:val="0D0D0D" w:themeColor="text1" w:themeTint="F2"/>
                          <w:sz w:val="16"/>
                          <w:szCs w:val="16"/>
                        </w:rPr>
                      </w:pPr>
                      <w:r w:rsidRPr="009B1BB3">
                        <w:rPr>
                          <w:sz w:val="16"/>
                          <w:szCs w:val="16"/>
                        </w:rPr>
                        <w:t xml:space="preserve">Accepted: </w:t>
                      </w:r>
                      <w:r w:rsidR="00210975">
                        <w:rPr>
                          <w:rFonts w:hint="eastAsia"/>
                          <w:color w:val="0D0D0D" w:themeColor="text1" w:themeTint="F2"/>
                          <w:sz w:val="16"/>
                          <w:szCs w:val="16"/>
                          <w:lang w:eastAsia="zh-CN"/>
                        </w:rPr>
                        <w:t>12</w:t>
                      </w:r>
                      <w:r w:rsidRPr="00901906">
                        <w:rPr>
                          <w:color w:val="0D0D0D" w:themeColor="text1" w:themeTint="F2"/>
                          <w:sz w:val="16"/>
                          <w:szCs w:val="16"/>
                        </w:rPr>
                        <w:t xml:space="preserve"> </w:t>
                      </w:r>
                      <w:r w:rsidR="00210975">
                        <w:rPr>
                          <w:rFonts w:hint="eastAsia"/>
                          <w:color w:val="0D0D0D" w:themeColor="text1" w:themeTint="F2"/>
                          <w:sz w:val="16"/>
                          <w:szCs w:val="16"/>
                          <w:lang w:eastAsia="zh-CN"/>
                        </w:rPr>
                        <w:t xml:space="preserve">September </w:t>
                      </w:r>
                      <w:r w:rsidRPr="00901906">
                        <w:rPr>
                          <w:color w:val="0D0D0D" w:themeColor="text1" w:themeTint="F2"/>
                          <w:sz w:val="16"/>
                          <w:szCs w:val="16"/>
                        </w:rPr>
                        <w:t>2024</w:t>
                      </w:r>
                    </w:p>
                    <w:p w14:paraId="0339B0DB" w14:textId="50310823" w:rsidR="00BF0F78" w:rsidRPr="009B1BB3" w:rsidRDefault="00000000">
                      <w:pPr>
                        <w:adjustRightInd w:val="0"/>
                        <w:snapToGrid w:val="0"/>
                        <w:spacing w:after="0" w:line="288" w:lineRule="auto"/>
                        <w:rPr>
                          <w:sz w:val="16"/>
                          <w:szCs w:val="16"/>
                        </w:rPr>
                      </w:pPr>
                      <w:r w:rsidRPr="00901906">
                        <w:rPr>
                          <w:color w:val="0D0D0D" w:themeColor="text1" w:themeTint="F2"/>
                          <w:sz w:val="16"/>
                          <w:szCs w:val="16"/>
                        </w:rPr>
                        <w:t xml:space="preserve">Available online: </w:t>
                      </w:r>
                      <w:r w:rsidR="00210975">
                        <w:rPr>
                          <w:rFonts w:hint="eastAsia"/>
                          <w:color w:val="0D0D0D" w:themeColor="text1" w:themeTint="F2"/>
                          <w:sz w:val="16"/>
                          <w:szCs w:val="16"/>
                          <w:lang w:eastAsia="zh-CN"/>
                        </w:rPr>
                        <w:t xml:space="preserve">29 September </w:t>
                      </w:r>
                      <w:r w:rsidRPr="00901906">
                        <w:rPr>
                          <w:color w:val="0D0D0D" w:themeColor="text1" w:themeTint="F2"/>
                          <w:sz w:val="16"/>
                          <w:szCs w:val="16"/>
                        </w:rPr>
                        <w:t>202</w:t>
                      </w:r>
                      <w:r w:rsidRPr="009B1BB3">
                        <w:rPr>
                          <w:sz w:val="16"/>
                          <w:szCs w:val="16"/>
                        </w:rPr>
                        <w:t>4</w:t>
                      </w:r>
                    </w:p>
                    <w:p w14:paraId="27FB9DE7" w14:textId="77777777" w:rsidR="00BF0F78" w:rsidRPr="009B1BB3" w:rsidRDefault="00000000">
                      <w:pPr>
                        <w:pBdr>
                          <w:bottom w:val="single" w:sz="4" w:space="1" w:color="auto"/>
                        </w:pBdr>
                        <w:adjustRightInd w:val="0"/>
                        <w:snapToGrid w:val="0"/>
                        <w:spacing w:before="240" w:after="120" w:line="240" w:lineRule="auto"/>
                        <w:rPr>
                          <w:rFonts w:eastAsia="Calibri"/>
                          <w:b/>
                          <w:sz w:val="16"/>
                          <w:szCs w:val="16"/>
                        </w:rPr>
                      </w:pPr>
                      <w:r w:rsidRPr="009B1BB3">
                        <w:rPr>
                          <w:rFonts w:eastAsia="Calibri"/>
                          <w:b/>
                          <w:sz w:val="16"/>
                          <w:szCs w:val="16"/>
                        </w:rPr>
                        <w:t>COPYRIGHT</w:t>
                      </w:r>
                      <w:bookmarkStart w:id="6" w:name="_Hlk138840665"/>
                      <w:bookmarkStart w:id="7" w:name="_Hlk138840737"/>
                      <w:bookmarkStart w:id="8" w:name="_Hlk138840666"/>
                      <w:bookmarkStart w:id="9" w:name="_Hlk138840736"/>
                    </w:p>
                    <w:p w14:paraId="69CB4DD9" w14:textId="77777777" w:rsidR="00BF0F78" w:rsidRPr="009B1BB3" w:rsidRDefault="00000000">
                      <w:pPr>
                        <w:adjustRightInd w:val="0"/>
                        <w:snapToGrid w:val="0"/>
                        <w:spacing w:after="0" w:line="260" w:lineRule="atLeast"/>
                        <w:rPr>
                          <w:iCs/>
                          <w:sz w:val="16"/>
                          <w:szCs w:val="16"/>
                        </w:rPr>
                      </w:pPr>
                      <w:r w:rsidRPr="009B1BB3">
                        <w:rPr>
                          <w:iCs/>
                          <w:noProof/>
                          <w:sz w:val="16"/>
                          <w:szCs w:val="16"/>
                          <w:lang w:eastAsia="en-GB"/>
                        </w:rPr>
                        <w:drawing>
                          <wp:inline distT="0" distB="0" distL="0" distR="0" wp14:anchorId="2B848646" wp14:editId="16200280">
                            <wp:extent cx="760730" cy="266065"/>
                            <wp:effectExtent l="0" t="0" r="1270" b="635"/>
                            <wp:docPr id="1931445003" name="图片 1931445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621185" name="图片 114862118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806168" cy="282059"/>
                                    </a:xfrm>
                                    <a:prstGeom prst="rect">
                                      <a:avLst/>
                                    </a:prstGeom>
                                  </pic:spPr>
                                </pic:pic>
                              </a:graphicData>
                            </a:graphic>
                          </wp:inline>
                        </w:drawing>
                      </w:r>
                    </w:p>
                    <w:p w14:paraId="10439951" w14:textId="77777777" w:rsidR="00BF0F78" w:rsidRPr="009B1BB3" w:rsidRDefault="00000000">
                      <w:pPr>
                        <w:adjustRightInd w:val="0"/>
                        <w:snapToGrid w:val="0"/>
                        <w:spacing w:after="0" w:line="288" w:lineRule="auto"/>
                        <w:rPr>
                          <w:sz w:val="16"/>
                          <w:szCs w:val="16"/>
                        </w:rPr>
                      </w:pPr>
                      <w:r w:rsidRPr="009B1BB3">
                        <w:rPr>
                          <w:iCs/>
                          <w:sz w:val="16"/>
                          <w:szCs w:val="16"/>
                        </w:rPr>
                        <w:t>Copyright © 2024 by author(s).</w:t>
                      </w:r>
                    </w:p>
                    <w:p w14:paraId="0C5D80E3" w14:textId="77777777" w:rsidR="00BF0F78" w:rsidRPr="009B1BB3" w:rsidRDefault="00000000">
                      <w:pPr>
                        <w:adjustRightInd w:val="0"/>
                        <w:snapToGrid w:val="0"/>
                        <w:spacing w:after="0" w:line="288" w:lineRule="auto"/>
                        <w:rPr>
                          <w:sz w:val="16"/>
                          <w:szCs w:val="16"/>
                        </w:rPr>
                      </w:pPr>
                      <w:r w:rsidRPr="009B1BB3">
                        <w:rPr>
                          <w:bCs/>
                          <w:i/>
                          <w:iCs/>
                          <w:sz w:val="16"/>
                          <w:szCs w:val="16"/>
                        </w:rPr>
                        <w:t>Forum for Education Studies</w:t>
                      </w:r>
                      <w:r w:rsidRPr="009B1BB3">
                        <w:rPr>
                          <w:sz w:val="16"/>
                          <w:szCs w:val="16"/>
                        </w:rPr>
                        <w:t xml:space="preserve"> is published by Academic Publishing Pte. Ltd. This work is licensed under the Creative Commons Attribution (CC BY) license.</w:t>
                      </w:r>
                    </w:p>
                    <w:p w14:paraId="67394D1C" w14:textId="77777777" w:rsidR="00BF0F78" w:rsidRPr="009B1BB3" w:rsidRDefault="00000000">
                      <w:pPr>
                        <w:adjustRightInd w:val="0"/>
                        <w:snapToGrid w:val="0"/>
                        <w:spacing w:after="0" w:line="288" w:lineRule="auto"/>
                        <w:rPr>
                          <w:sz w:val="16"/>
                          <w:szCs w:val="16"/>
                        </w:rPr>
                      </w:pPr>
                      <w:r w:rsidRPr="009B1BB3">
                        <w:rPr>
                          <w:sz w:val="16"/>
                          <w:szCs w:val="16"/>
                        </w:rPr>
                        <w:t>https://creativecommons.org/licenses/by/4.0/</w:t>
                      </w:r>
                      <w:bookmarkEnd w:id="6"/>
                      <w:bookmarkEnd w:id="7"/>
                      <w:bookmarkEnd w:id="8"/>
                      <w:bookmarkEnd w:id="9"/>
                    </w:p>
                  </w:txbxContent>
                </v:textbox>
                <w10:wrap type="square" anchorx="margin"/>
              </v:shape>
            </w:pict>
          </mc:Fallback>
        </mc:AlternateContent>
      </w:r>
      <w:r w:rsidRPr="009B1BB3">
        <w:rPr>
          <w:b/>
          <w:sz w:val="20"/>
          <w:szCs w:val="20"/>
        </w:rPr>
        <w:t>Abstract</w:t>
      </w:r>
      <w:r w:rsidRPr="009B1BB3">
        <w:rPr>
          <w:b/>
          <w:caps/>
          <w:sz w:val="20"/>
          <w:szCs w:val="20"/>
          <w:lang w:eastAsia="zh-CN"/>
        </w:rPr>
        <w:t xml:space="preserve">: </w:t>
      </w:r>
      <w:r w:rsidR="00880C92" w:rsidRPr="00880C92">
        <w:rPr>
          <w:sz w:val="20"/>
        </w:rPr>
        <w:t xml:space="preserve">The United Nations Sustainable Development Goal 10 (SDG10) aims to reduce inequality and, by extension, poverty within and between countries. However, issues of economic growth, external borrowing, and institutional quality could clog efforts at </w:t>
      </w:r>
      <w:proofErr w:type="spellStart"/>
      <w:r w:rsidR="00880C92" w:rsidRPr="00880C92">
        <w:rPr>
          <w:sz w:val="20"/>
        </w:rPr>
        <w:t>realising</w:t>
      </w:r>
      <w:proofErr w:type="spellEnd"/>
      <w:r w:rsidR="00880C92" w:rsidRPr="00880C92">
        <w:rPr>
          <w:sz w:val="20"/>
        </w:rPr>
        <w:t xml:space="preserve"> SDG10, particularly in a developing country. Thus, this study assessed the effect of economic growth, foreign debt, and institutional quality on poverty and income inequality in Nigeria between 1990 and 2022. The research applied the autoregressive distributed lag (ARDL) technique in its empirical analysis. Findings from the study indicated that economic prosperity does not have a significant long-run impact on poverty and inequality. However, the short-run relationship showed that economic growth increases inequality in Nigeria. Foreign borrowing was revealed to further aggravate poverty and inequality in the long run. Also, while government effectiveness demonstrated an enhancing effect on poverty in the short- and long-run periods, its long-run impact on inequality is significantly decelerating. Thus, based on the aforesaid conclusions, the study recommends the strengthening of small and medium enterprises through access to finance at lower interest rates and equitable distribution of national wealth through the payment of a living wage, provision of social and economic infrastructure, etc. Also, the agricultural sector should be made more attractive to the youths through encouraging export promotion policies. Leveraging financial technology and encouraging start-up firms can further reduce the poverty and the inequality level in the country.</w:t>
      </w:r>
    </w:p>
    <w:p w14:paraId="140589B0" w14:textId="77777777" w:rsidR="00BF0F78" w:rsidRPr="009B1BB3" w:rsidRDefault="00000000">
      <w:pPr>
        <w:widowControl w:val="0"/>
        <w:pBdr>
          <w:bottom w:val="single" w:sz="4" w:space="1" w:color="auto"/>
        </w:pBdr>
        <w:overflowPunct w:val="0"/>
        <w:autoSpaceDE w:val="0"/>
        <w:autoSpaceDN w:val="0"/>
        <w:adjustRightInd w:val="0"/>
        <w:snapToGrid w:val="0"/>
        <w:spacing w:before="120" w:after="0" w:line="288" w:lineRule="auto"/>
        <w:ind w:left="2948"/>
        <w:jc w:val="both"/>
        <w:rPr>
          <w:iCs/>
          <w:sz w:val="20"/>
        </w:rPr>
      </w:pPr>
      <w:r w:rsidRPr="009B1BB3">
        <w:rPr>
          <w:b/>
          <w:sz w:val="20"/>
        </w:rPr>
        <w:t>Keywords:</w:t>
      </w:r>
      <w:r w:rsidRPr="009B1BB3">
        <w:rPr>
          <w:sz w:val="20"/>
        </w:rPr>
        <w:t xml:space="preserve"> </w:t>
      </w:r>
      <w:r w:rsidRPr="009B1BB3">
        <w:rPr>
          <w:iCs/>
          <w:sz w:val="20"/>
        </w:rPr>
        <w:t>poverty; income inequality; economic prosperity; government effectiveness; foreign debt; Nigeria</w:t>
      </w:r>
    </w:p>
    <w:p w14:paraId="3DEE4C38" w14:textId="77777777" w:rsidR="00BF0F78" w:rsidRPr="009B1BB3" w:rsidRDefault="00000000" w:rsidP="00695071">
      <w:pPr>
        <w:widowControl w:val="0"/>
        <w:pBdr>
          <w:bottom w:val="single" w:sz="4" w:space="1" w:color="auto"/>
        </w:pBdr>
        <w:overflowPunct w:val="0"/>
        <w:autoSpaceDE w:val="0"/>
        <w:autoSpaceDN w:val="0"/>
        <w:adjustRightInd w:val="0"/>
        <w:snapToGrid w:val="0"/>
        <w:spacing w:after="240" w:line="288" w:lineRule="auto"/>
        <w:ind w:left="2948"/>
        <w:jc w:val="both"/>
        <w:rPr>
          <w:iCs/>
          <w:sz w:val="20"/>
        </w:rPr>
      </w:pPr>
      <w:r w:rsidRPr="009B1BB3">
        <w:rPr>
          <w:b/>
          <w:bCs/>
          <w:iCs/>
          <w:sz w:val="20"/>
        </w:rPr>
        <w:t>JEL Classification:</w:t>
      </w:r>
      <w:r w:rsidRPr="009B1BB3">
        <w:rPr>
          <w:iCs/>
          <w:sz w:val="20"/>
        </w:rPr>
        <w:t xml:space="preserve"> D31; H53; I3</w:t>
      </w:r>
    </w:p>
    <w:p w14:paraId="18E97561" w14:textId="77777777" w:rsidR="00BF0F78" w:rsidRPr="009B1BB3" w:rsidRDefault="00000000">
      <w:pPr>
        <w:widowControl w:val="0"/>
        <w:overflowPunct w:val="0"/>
        <w:adjustRightInd w:val="0"/>
        <w:snapToGrid w:val="0"/>
        <w:spacing w:before="240" w:after="120" w:line="288" w:lineRule="auto"/>
        <w:ind w:left="2948"/>
        <w:rPr>
          <w:b/>
          <w:sz w:val="26"/>
        </w:rPr>
      </w:pPr>
      <w:r w:rsidRPr="009B1BB3">
        <w:rPr>
          <w:b/>
          <w:sz w:val="26"/>
        </w:rPr>
        <w:t>1. Introduction</w:t>
      </w:r>
    </w:p>
    <w:p w14:paraId="5AD1CA77" w14:textId="77777777" w:rsidR="00535895" w:rsidRPr="00535895" w:rsidRDefault="00535895" w:rsidP="00535895">
      <w:pPr>
        <w:widowControl w:val="0"/>
        <w:overflowPunct w:val="0"/>
        <w:adjustRightInd w:val="0"/>
        <w:snapToGrid w:val="0"/>
        <w:spacing w:after="0" w:line="288" w:lineRule="auto"/>
        <w:ind w:left="2948" w:firstLine="442"/>
        <w:jc w:val="both"/>
        <w:rPr>
          <w:rFonts w:eastAsia="宋体"/>
          <w:szCs w:val="22"/>
        </w:rPr>
      </w:pPr>
      <w:r w:rsidRPr="00535895">
        <w:rPr>
          <w:rFonts w:eastAsia="宋体"/>
          <w:szCs w:val="22"/>
        </w:rPr>
        <w:t xml:space="preserve">Poverty has been a serious concern for most developing economies, including Nigeria, since the turn of the 21st century. </w:t>
      </w:r>
      <w:proofErr w:type="spellStart"/>
      <w:r w:rsidRPr="00535895">
        <w:rPr>
          <w:rFonts w:eastAsia="宋体"/>
          <w:szCs w:val="22"/>
        </w:rPr>
        <w:t>Conceptualising</w:t>
      </w:r>
      <w:proofErr w:type="spellEnd"/>
      <w:r w:rsidRPr="00535895">
        <w:rPr>
          <w:rFonts w:eastAsia="宋体"/>
          <w:szCs w:val="22"/>
        </w:rPr>
        <w:t xml:space="preserve"> poverty extends beyond mere lack of income and productive resources, essential for the sustainability of livelihoods. It encompasses issues of well-being, including malnutrition, hunger, inadequate access to education and other elementary services, social isolation and exclusion, and lack of involvement in the decision-making process [1]. Nigeria is blessed with abundant natural resources and human capital, but many of its population live below the poverty line and survive on less than $1.9 per day. Poverty in Nigeria is rising, with almost 85 million of its population living on less than 1.9 per day [2]. The National Bureau of Statistics [3] noted that the number of poor Nigerians increased by 24 million between 2018 and 2023, despite its economy being the largest in Africa. Furthermore, the percentage of Nigerians living in absolute poverty increases each day; that is, those who cannot afford the basic essential foods, shelter, </w:t>
      </w:r>
      <w:r w:rsidRPr="00535895">
        <w:rPr>
          <w:rFonts w:eastAsia="宋体"/>
          <w:szCs w:val="22"/>
        </w:rPr>
        <w:lastRenderedPageBreak/>
        <w:t>and clothing is 40 percent of the total population, or almost 83 million [4,5]. Consequently, Nigeria is ranked 61st in the world on the United Nations Human Development Index due to the growing incidence of poverty, which is pervasive in the country [6].</w:t>
      </w:r>
    </w:p>
    <w:p w14:paraId="3D511AD0" w14:textId="77777777" w:rsidR="00535895" w:rsidRPr="00535895" w:rsidRDefault="00535895" w:rsidP="00535895">
      <w:pPr>
        <w:widowControl w:val="0"/>
        <w:overflowPunct w:val="0"/>
        <w:adjustRightInd w:val="0"/>
        <w:snapToGrid w:val="0"/>
        <w:spacing w:after="0" w:line="288" w:lineRule="auto"/>
        <w:ind w:left="2948" w:firstLine="442"/>
        <w:jc w:val="both"/>
        <w:rPr>
          <w:rFonts w:eastAsia="宋体"/>
          <w:szCs w:val="22"/>
        </w:rPr>
      </w:pPr>
      <w:r w:rsidRPr="00535895">
        <w:rPr>
          <w:rFonts w:eastAsia="宋体"/>
          <w:szCs w:val="22"/>
        </w:rPr>
        <w:t>Furthermore, income inequality is a major economic problem in the country. Inequality refers to disparities and discrepancies in areas such as social identity, income, education, health, nutrition, space, politics, outcomes, and opportunities [7]. As with poverty, measurement of inequality has tended to focus on income, while progress on inequalities is uneven [8]. In recent years’ income inequality globally and within many countries has decreased, but in some countries, it has risen [9,10]. In developing nations where a decline in income inequality has been experienced, the success is often attributed to the expansion of education and public transfers to the poor [11]. Nevertheless, inequalities between marginalized groups and the rest of the population have persisted in such developing economies, including Nigeria [12].</w:t>
      </w:r>
    </w:p>
    <w:p w14:paraId="6B7E6065" w14:textId="77777777" w:rsidR="00535895" w:rsidRPr="00535895" w:rsidRDefault="00535895" w:rsidP="00535895">
      <w:pPr>
        <w:widowControl w:val="0"/>
        <w:overflowPunct w:val="0"/>
        <w:adjustRightInd w:val="0"/>
        <w:snapToGrid w:val="0"/>
        <w:spacing w:after="0" w:line="288" w:lineRule="auto"/>
        <w:ind w:left="2948" w:firstLine="442"/>
        <w:jc w:val="both"/>
        <w:rPr>
          <w:rFonts w:eastAsia="宋体"/>
          <w:szCs w:val="22"/>
        </w:rPr>
      </w:pPr>
      <w:r w:rsidRPr="00535895">
        <w:rPr>
          <w:rFonts w:eastAsia="宋体"/>
          <w:szCs w:val="22"/>
        </w:rPr>
        <w:t xml:space="preserve">Income inequality affects the pace at which economic growth enables poverty reduction [13]. Reducing inequality within countries has been the 10th objective of the United Nations Sustainable Development Goal (SDG10) in recent years. It is believed that reducing inequality will assist in eradicating other socioeconomic problems in developing nations [9,10]. Income inequality is created when the gap between the rich and the people living in poverty gets expanded. Higher levels of poverty and income inequality are detrimental to people’s opportunity, quality of growth, and security [14,15]. Baumol and Blinder [16] state that the causes of income inequality could be differences in abilities because people have different capabilities. Hence, it should not be surprising that some people are more adept at earning income. Intuitively, it is clear that some types of inventiveness are richly rewarded by the market. The same is true of the elusive characteristic called entrepreneurial ability and differences in the intensity of work. Some people work longer hours than others or </w:t>
      </w:r>
      <w:proofErr w:type="spellStart"/>
      <w:r w:rsidRPr="00535895">
        <w:rPr>
          <w:rFonts w:eastAsia="宋体"/>
          <w:szCs w:val="22"/>
        </w:rPr>
        <w:t>labour</w:t>
      </w:r>
      <w:proofErr w:type="spellEnd"/>
      <w:r w:rsidRPr="00535895">
        <w:rPr>
          <w:rFonts w:eastAsia="宋体"/>
          <w:szCs w:val="22"/>
        </w:rPr>
        <w:t xml:space="preserve"> more intensely when they are on the job. Ability in risk-taking, luck, inherited wealth, schooling, and other types of training has also resulted in certain income differences that are largely voluntary.</w:t>
      </w:r>
    </w:p>
    <w:p w14:paraId="6A4503CA" w14:textId="77777777" w:rsidR="00535895" w:rsidRPr="00535895" w:rsidRDefault="00535895" w:rsidP="00535895">
      <w:pPr>
        <w:widowControl w:val="0"/>
        <w:overflowPunct w:val="0"/>
        <w:adjustRightInd w:val="0"/>
        <w:snapToGrid w:val="0"/>
        <w:spacing w:after="0" w:line="288" w:lineRule="auto"/>
        <w:ind w:left="2948" w:firstLine="442"/>
        <w:jc w:val="both"/>
        <w:rPr>
          <w:rFonts w:eastAsia="宋体"/>
          <w:szCs w:val="22"/>
        </w:rPr>
      </w:pPr>
      <w:r w:rsidRPr="00535895">
        <w:rPr>
          <w:rFonts w:eastAsia="宋体"/>
          <w:szCs w:val="22"/>
        </w:rPr>
        <w:t>The effects of economic growth on poverty and income inequality are not yet defined by empirical studies. Extant research has established two unique stands on the association between income inequality and economic growth. Some scholars stressed that economic growth either diminishes or has no impact on income inequality and poverty [17]. Other researchers emphasized that economic growth aggravates income inequalities and poverty due to the lopsided distribution in the gains of economic growth among members of the society, in which few individuals get a large share of economic growth at the expense of the larger proportion of the society [18–20]. Thus, empirical studies on the impact of poverty and income inequality on economic growth have been yielding mixed results. In addition, Delbianco et al. [21] noted that the relationship between income inequality and economic growth depends on the income level of the country. Available data on Nigeria suggests that the growth rate of the country has not been stable over time; however, the extent of the influence of economic growth on the level of income inequality remained uncertain owing to the limited empirical studies on the issue [22].</w:t>
      </w:r>
    </w:p>
    <w:p w14:paraId="74AF5B62" w14:textId="77777777" w:rsidR="00535895" w:rsidRPr="00535895" w:rsidRDefault="00535895" w:rsidP="00535895">
      <w:pPr>
        <w:widowControl w:val="0"/>
        <w:overflowPunct w:val="0"/>
        <w:adjustRightInd w:val="0"/>
        <w:snapToGrid w:val="0"/>
        <w:spacing w:after="0" w:line="288" w:lineRule="auto"/>
        <w:ind w:left="2948" w:firstLine="442"/>
        <w:jc w:val="both"/>
        <w:rPr>
          <w:rFonts w:eastAsia="宋体"/>
          <w:szCs w:val="22"/>
        </w:rPr>
      </w:pPr>
      <w:r w:rsidRPr="00535895">
        <w:rPr>
          <w:rFonts w:eastAsia="宋体"/>
          <w:szCs w:val="22"/>
        </w:rPr>
        <w:t xml:space="preserve">External debt is another key element that might contribute to increased income </w:t>
      </w:r>
      <w:r w:rsidRPr="00535895">
        <w:rPr>
          <w:rFonts w:eastAsia="宋体"/>
          <w:szCs w:val="22"/>
        </w:rPr>
        <w:lastRenderedPageBreak/>
        <w:t xml:space="preserve">disparity and poverty in Nigeria. In mid-1986, the Nigerian government implemented the Structural Adjustment </w:t>
      </w:r>
      <w:proofErr w:type="spellStart"/>
      <w:r w:rsidRPr="00535895">
        <w:rPr>
          <w:rFonts w:eastAsia="宋体"/>
          <w:szCs w:val="22"/>
        </w:rPr>
        <w:t>Programme</w:t>
      </w:r>
      <w:proofErr w:type="spellEnd"/>
      <w:r w:rsidRPr="00535895">
        <w:rPr>
          <w:rFonts w:eastAsia="宋体"/>
          <w:szCs w:val="22"/>
        </w:rPr>
        <w:t xml:space="preserve"> (SAP), which resulted in considerable deficit financing during the recession (1986–1990). To pay the shortfalls, the government intensified its dependence on external borrowing. To make matters worse, the country’s external debt-to-export of goods and services ratio soared to 772.2% in 1986, up from 47.4% in 1980 [23]. This means that by 1986, Nigeria demanded in excess of seven times the value that it obtained in export profits for repayment of its debt. As a result, the 1980–1990 period was the most challenging in Nigeria’s debt management history.</w:t>
      </w:r>
    </w:p>
    <w:p w14:paraId="0651BA3D" w14:textId="77777777" w:rsidR="00535895" w:rsidRPr="00535895" w:rsidRDefault="00535895" w:rsidP="00535895">
      <w:pPr>
        <w:widowControl w:val="0"/>
        <w:overflowPunct w:val="0"/>
        <w:adjustRightInd w:val="0"/>
        <w:snapToGrid w:val="0"/>
        <w:spacing w:after="0" w:line="288" w:lineRule="auto"/>
        <w:ind w:left="2948" w:firstLine="442"/>
        <w:jc w:val="both"/>
        <w:rPr>
          <w:rFonts w:eastAsia="宋体"/>
          <w:szCs w:val="22"/>
        </w:rPr>
      </w:pPr>
      <w:r w:rsidRPr="00535895">
        <w:rPr>
          <w:rFonts w:eastAsia="宋体"/>
          <w:szCs w:val="22"/>
        </w:rPr>
        <w:t>Nigeria’s significant foreign indebtedness persisted throughout the 1990s and into the mid-2000s, reaching levels that were unsustainable as a consequence; by 2005, the country was among the most indebted in the world. This spurred the federal government, led by President Olusegun Obasanjo, to seek a ‘debt buy back’ structure from Nigeria’s largest creditors, the London and Paris Clubs, in 2005. The contract was later reached and executed in 2006. Thus, Nigeria was given the option of ‘purchasing back’ around $30 billion of her $32.6 billion external debt for a payment of $12.4 billion [24]. Despite the 2006 debt relief provided to Nigeria by the London and Paris Club of Creditors, the country’s external debt has once again begun ascending to dangerous heights. There are a number of reasons that contribute to such growth, including governance concerns and capital flight [25,26], as well as macroeconomic factors [27–29].</w:t>
      </w:r>
    </w:p>
    <w:p w14:paraId="08625E8D" w14:textId="77777777" w:rsidR="00535895" w:rsidRPr="00535895" w:rsidRDefault="00535895" w:rsidP="00535895">
      <w:pPr>
        <w:widowControl w:val="0"/>
        <w:overflowPunct w:val="0"/>
        <w:adjustRightInd w:val="0"/>
        <w:snapToGrid w:val="0"/>
        <w:spacing w:after="0" w:line="288" w:lineRule="auto"/>
        <w:ind w:left="2948" w:firstLine="442"/>
        <w:jc w:val="both"/>
        <w:rPr>
          <w:rFonts w:eastAsia="宋体"/>
          <w:szCs w:val="22"/>
        </w:rPr>
      </w:pPr>
      <w:r w:rsidRPr="00535895">
        <w:rPr>
          <w:rFonts w:eastAsia="宋体"/>
          <w:szCs w:val="22"/>
        </w:rPr>
        <w:t xml:space="preserve">Another important culprit for the rising poverty and income inequality gap in Nigeria is the quality of government institutions. Institutional quality represents a gauge of the quality of a nation’s governance and establishments regarding the </w:t>
      </w:r>
      <w:proofErr w:type="spellStart"/>
      <w:r w:rsidRPr="00535895">
        <w:rPr>
          <w:rFonts w:eastAsia="宋体"/>
          <w:szCs w:val="22"/>
        </w:rPr>
        <w:t>calibre</w:t>
      </w:r>
      <w:proofErr w:type="spellEnd"/>
      <w:r w:rsidRPr="00535895">
        <w:rPr>
          <w:rFonts w:eastAsia="宋体"/>
          <w:szCs w:val="22"/>
        </w:rPr>
        <w:t xml:space="preserve"> of contract enforcement, shareholder protection, and property rights [30]. Institutional quality is a critical ingredient in any country’s quest to achieve the United Nations (UN) sustainable development goals (SDGs), including enhancing peaceful communities, ensuring equal accessibility to justice, and guaranteeing effective institutions [30]. Hence, poor financial management and allegations of public corruption might render the public sector’s intervention in poverty and income inequality </w:t>
      </w:r>
      <w:proofErr w:type="spellStart"/>
      <w:r w:rsidRPr="00535895">
        <w:rPr>
          <w:rFonts w:eastAsia="宋体"/>
          <w:szCs w:val="22"/>
        </w:rPr>
        <w:t>programmes</w:t>
      </w:r>
      <w:proofErr w:type="spellEnd"/>
      <w:r w:rsidRPr="00535895">
        <w:rPr>
          <w:rFonts w:eastAsia="宋体"/>
          <w:szCs w:val="22"/>
        </w:rPr>
        <w:t xml:space="preserve"> ineffective. Furthermore, weak institutions have contributed to the elevated debt profile in Nigeria. As a result, the country’s budget deficits have likewise continued to grow as a result of the need to service debts and tackle poverty and inequality scourges. Hence, the weakness in government’s effectiveness has encouraged the growing income disparity and exacerbated the challenge of multidimensional poverty in the country [2]. Different poverty alleviation initiatives by the government are often levelled with allegations of inefficiency and mirage results by the citizens. Thus, since the UNSDG goal 10 aims to reduce inequality and, by extension, poverty within and between countries, this study answered the query of whether the failure to harness the benefits of economic growth, external borrowing, and institutional quality are actually clogging efforts at </w:t>
      </w:r>
      <w:proofErr w:type="spellStart"/>
      <w:r w:rsidRPr="00535895">
        <w:rPr>
          <w:rFonts w:eastAsia="宋体"/>
          <w:szCs w:val="22"/>
        </w:rPr>
        <w:t>realising</w:t>
      </w:r>
      <w:proofErr w:type="spellEnd"/>
      <w:r w:rsidRPr="00535895">
        <w:rPr>
          <w:rFonts w:eastAsia="宋体"/>
          <w:szCs w:val="22"/>
        </w:rPr>
        <w:t xml:space="preserve"> SDG10, particularly in a developing country like Nigeria.</w:t>
      </w:r>
    </w:p>
    <w:p w14:paraId="40D1F707" w14:textId="77777777" w:rsidR="00535895" w:rsidRPr="00535895" w:rsidRDefault="00535895" w:rsidP="00535895">
      <w:pPr>
        <w:widowControl w:val="0"/>
        <w:overflowPunct w:val="0"/>
        <w:adjustRightInd w:val="0"/>
        <w:snapToGrid w:val="0"/>
        <w:spacing w:after="0" w:line="288" w:lineRule="auto"/>
        <w:ind w:left="2948" w:firstLine="442"/>
        <w:jc w:val="both"/>
        <w:rPr>
          <w:rFonts w:eastAsia="宋体"/>
          <w:szCs w:val="22"/>
        </w:rPr>
      </w:pPr>
      <w:r w:rsidRPr="00535895">
        <w:rPr>
          <w:rFonts w:eastAsia="宋体"/>
          <w:szCs w:val="22"/>
        </w:rPr>
        <w:t xml:space="preserve">Consequently, this research investigates whether economic growth, external borrowing, and institutional quality fuel the rise in poverty and income inequality between 1990 and 2022 for Nigeria. Extant studies have tried establishing impacts of income disparity and poverty on economic growth and vice versa [17,20,31–33]. </w:t>
      </w:r>
      <w:r w:rsidRPr="00535895">
        <w:rPr>
          <w:rFonts w:eastAsia="宋体"/>
          <w:szCs w:val="22"/>
        </w:rPr>
        <w:lastRenderedPageBreak/>
        <w:t>Likewise, there are studies that have evaluated the public debt-inequality nexus [34–39]. However, to the best of our knowledge, Nguyen [19] was the only close prior research to have tried examining the effects of public borrowing, institutional quality, and economic prosperity on income inequality; nevertheless, the study was for 30 advanced economies. Accordingly, this study bridges this empirical gap by examining whether economic growth, foreign debt, and institutional quality have been aiding the rise in poverty and income inequality for a developing country. Thus, this research leads in reversing the order of effects from economic growth, foreign debt, and institutional quality on poverty and income inequality for a developing economy, and specifically for Nigeria, extending the literature on this front.</w:t>
      </w:r>
    </w:p>
    <w:p w14:paraId="34FA40AD" w14:textId="52F48BB8" w:rsidR="00BF0F78" w:rsidRPr="00535895" w:rsidRDefault="00535895" w:rsidP="00535895">
      <w:pPr>
        <w:widowControl w:val="0"/>
        <w:overflowPunct w:val="0"/>
        <w:adjustRightInd w:val="0"/>
        <w:snapToGrid w:val="0"/>
        <w:spacing w:after="0" w:line="288" w:lineRule="auto"/>
        <w:ind w:left="2948" w:firstLine="442"/>
        <w:jc w:val="both"/>
        <w:rPr>
          <w:rFonts w:eastAsia="宋体" w:hint="eastAsia"/>
          <w:szCs w:val="22"/>
          <w:lang w:eastAsia="zh-CN"/>
        </w:rPr>
      </w:pPr>
      <w:r w:rsidRPr="00535895">
        <w:rPr>
          <w:rFonts w:eastAsia="宋体"/>
          <w:szCs w:val="22"/>
        </w:rPr>
        <w:t>The rest of this research structure reveals Section 2 to contain the reviewed literature, Section 3 the study’s data and methodology, Section 4 findings and discussion, and Section 5 the concluding remarks.</w:t>
      </w:r>
    </w:p>
    <w:p w14:paraId="7F8FFFCA" w14:textId="77777777" w:rsidR="00BF0F78" w:rsidRPr="009B1BB3" w:rsidRDefault="00000000">
      <w:pPr>
        <w:widowControl w:val="0"/>
        <w:overflowPunct w:val="0"/>
        <w:adjustRightInd w:val="0"/>
        <w:snapToGrid w:val="0"/>
        <w:spacing w:before="240" w:after="120" w:line="288" w:lineRule="auto"/>
        <w:ind w:left="2948"/>
        <w:rPr>
          <w:b/>
          <w:sz w:val="26"/>
        </w:rPr>
      </w:pPr>
      <w:r w:rsidRPr="009B1BB3">
        <w:rPr>
          <w:b/>
          <w:sz w:val="26"/>
        </w:rPr>
        <w:t>2. Literature review</w:t>
      </w:r>
    </w:p>
    <w:p w14:paraId="5254EB82" w14:textId="77777777" w:rsidR="00BF0F78" w:rsidRPr="009B1BB3" w:rsidRDefault="00000000">
      <w:pPr>
        <w:widowControl w:val="0"/>
        <w:overflowPunct w:val="0"/>
        <w:adjustRightInd w:val="0"/>
        <w:snapToGrid w:val="0"/>
        <w:spacing w:before="240" w:after="60" w:line="288" w:lineRule="auto"/>
        <w:ind w:left="2948"/>
        <w:rPr>
          <w:b/>
          <w:sz w:val="24"/>
        </w:rPr>
      </w:pPr>
      <w:r w:rsidRPr="009B1BB3">
        <w:rPr>
          <w:b/>
          <w:sz w:val="24"/>
        </w:rPr>
        <w:t>2.1. Theoretical review</w:t>
      </w:r>
    </w:p>
    <w:p w14:paraId="1024FD50" w14:textId="77777777" w:rsidR="00B61073" w:rsidRPr="00B61073" w:rsidRDefault="00B61073" w:rsidP="00B61073">
      <w:pPr>
        <w:widowControl w:val="0"/>
        <w:overflowPunct w:val="0"/>
        <w:autoSpaceDE w:val="0"/>
        <w:autoSpaceDN w:val="0"/>
        <w:adjustRightInd w:val="0"/>
        <w:snapToGrid w:val="0"/>
        <w:spacing w:after="0" w:line="288" w:lineRule="auto"/>
        <w:ind w:left="2948" w:firstLine="442"/>
        <w:jc w:val="both"/>
        <w:rPr>
          <w:szCs w:val="22"/>
          <w:lang w:eastAsia="zh-CN"/>
        </w:rPr>
      </w:pPr>
      <w:bookmarkStart w:id="10" w:name="OLE_LINK1"/>
      <w:r w:rsidRPr="00B61073">
        <w:rPr>
          <w:szCs w:val="22"/>
          <w:lang w:eastAsia="zh-CN"/>
        </w:rPr>
        <w:t xml:space="preserve">Without a doubt, the development and the distribution of income have been two of the most important policy objectives for almost every country in the world. Likewise, the relationship between the extent of income distribution and the level of economic growth has been the focus of many theoretical and empirical studies in the past decades. The Kuznets and New-Keynesian hypotheses formed the theoretical basis for this study. The </w:t>
      </w:r>
      <w:proofErr w:type="spellStart"/>
      <w:r w:rsidRPr="00B61073">
        <w:rPr>
          <w:szCs w:val="22"/>
          <w:lang w:eastAsia="zh-CN"/>
        </w:rPr>
        <w:t>Kuznet</w:t>
      </w:r>
      <w:proofErr w:type="spellEnd"/>
      <w:r w:rsidRPr="00B61073">
        <w:rPr>
          <w:szCs w:val="22"/>
          <w:lang w:eastAsia="zh-CN"/>
        </w:rPr>
        <w:t xml:space="preserve"> [40] hypothesis explained the link between income inequality and economic growth as an inverted U-shape. Specifically, Kuznets argues that the distribution of income first worsens and then improves as a country develops. Stated differently, the </w:t>
      </w:r>
      <w:proofErr w:type="spellStart"/>
      <w:r w:rsidRPr="00B61073">
        <w:rPr>
          <w:szCs w:val="22"/>
          <w:lang w:eastAsia="zh-CN"/>
        </w:rPr>
        <w:t>Kuznet</w:t>
      </w:r>
      <w:proofErr w:type="spellEnd"/>
      <w:r w:rsidRPr="00B61073">
        <w:rPr>
          <w:szCs w:val="22"/>
          <w:lang w:eastAsia="zh-CN"/>
        </w:rPr>
        <w:t xml:space="preserve"> hypothesis noted that at the earlier stages of economic growth, inequality in income increases as the economy grows further; inequality reaches its peak and then finally declines with continuous economic growth. Thus, the </w:t>
      </w:r>
      <w:proofErr w:type="spellStart"/>
      <w:r w:rsidRPr="00B61073">
        <w:rPr>
          <w:szCs w:val="22"/>
          <w:lang w:eastAsia="zh-CN"/>
        </w:rPr>
        <w:t>Kuznet</w:t>
      </w:r>
      <w:proofErr w:type="spellEnd"/>
      <w:r w:rsidRPr="00B61073">
        <w:rPr>
          <w:szCs w:val="22"/>
          <w:lang w:eastAsia="zh-CN"/>
        </w:rPr>
        <w:t xml:space="preserve"> hypothesis noted that in the short run, there exists a positive relationship between income inequality and economic growth, while in the long run, the relationship between income inequality and economic growth is negative.</w:t>
      </w:r>
    </w:p>
    <w:p w14:paraId="76169D6E" w14:textId="77777777" w:rsidR="00B61073" w:rsidRPr="00B61073" w:rsidRDefault="00B61073" w:rsidP="00B61073">
      <w:pPr>
        <w:widowControl w:val="0"/>
        <w:overflowPunct w:val="0"/>
        <w:autoSpaceDE w:val="0"/>
        <w:autoSpaceDN w:val="0"/>
        <w:adjustRightInd w:val="0"/>
        <w:snapToGrid w:val="0"/>
        <w:spacing w:after="0" w:line="288" w:lineRule="auto"/>
        <w:ind w:left="2948" w:firstLine="442"/>
        <w:jc w:val="both"/>
        <w:rPr>
          <w:szCs w:val="22"/>
          <w:lang w:eastAsia="zh-CN"/>
        </w:rPr>
      </w:pPr>
      <w:r w:rsidRPr="00B61073">
        <w:rPr>
          <w:szCs w:val="22"/>
          <w:lang w:eastAsia="zh-CN"/>
        </w:rPr>
        <w:t>On the other hand, the New-Keynesian theory adopts a money-centered approach towards poverty; hence, the need for government intervention in the economy. The theory noted the role of excessive inflation, high sovereign debt, and asset bubbles as other macroeconomic factors, besides weak aggregate demand, believed to cause poverty [41]. Even though the New-Keynesian school followed a money-centered individual stance towards poverty, the importance assigned to the functions of the government allows for a greater focus on public goods and inequality. For instance, a more equal income distribution can facilitate the participation of disadvantaged groups of society in the type of activities that are deemed essential under broader notions of poverty.</w:t>
      </w:r>
    </w:p>
    <w:p w14:paraId="5041D49F" w14:textId="3896A595" w:rsidR="00BF0F78" w:rsidRPr="00B61073" w:rsidRDefault="00B61073" w:rsidP="00B61073">
      <w:pPr>
        <w:widowControl w:val="0"/>
        <w:overflowPunct w:val="0"/>
        <w:autoSpaceDE w:val="0"/>
        <w:autoSpaceDN w:val="0"/>
        <w:adjustRightInd w:val="0"/>
        <w:snapToGrid w:val="0"/>
        <w:spacing w:after="0" w:line="288" w:lineRule="auto"/>
        <w:ind w:left="2948" w:firstLine="442"/>
        <w:jc w:val="both"/>
        <w:rPr>
          <w:rFonts w:hint="eastAsia"/>
          <w:szCs w:val="22"/>
          <w:lang w:eastAsia="zh-CN"/>
        </w:rPr>
      </w:pPr>
      <w:r w:rsidRPr="00B61073">
        <w:rPr>
          <w:szCs w:val="22"/>
          <w:lang w:eastAsia="zh-CN"/>
        </w:rPr>
        <w:t xml:space="preserve">Furthermore, the New-Keynesian premise holds the view that publicly provided capital (including education) has an important role to play, with physical and human capital believed to be the foundation for economic prosperity. Unlike the classical approach, unemployment, viewed as a major cause of poverty, is largely seen as involuntary and in need of government intervention to combat it. The New-Keynesian </w:t>
      </w:r>
      <w:r w:rsidRPr="00B61073">
        <w:rPr>
          <w:szCs w:val="22"/>
          <w:lang w:eastAsia="zh-CN"/>
        </w:rPr>
        <w:lastRenderedPageBreak/>
        <w:t>theory stresses the role of government in stimulating macro-level variables such as aggregate investment, unemployment, inflation, debt, and asset market bubbles to enhance growth and address issues of poverty (Jung and Smith, 2007). Moreover, according to this theory, poor capital (human and physical), poor infrastructure, and a lack of suitable institutions are considered the main sources of underdevelopment leading to poverty [42,43].</w:t>
      </w:r>
    </w:p>
    <w:bookmarkEnd w:id="10"/>
    <w:p w14:paraId="0886B43A" w14:textId="77777777" w:rsidR="00BF0F78" w:rsidRPr="009B1BB3" w:rsidRDefault="00000000">
      <w:pPr>
        <w:widowControl w:val="0"/>
        <w:overflowPunct w:val="0"/>
        <w:adjustRightInd w:val="0"/>
        <w:snapToGrid w:val="0"/>
        <w:spacing w:before="240" w:after="60" w:line="288" w:lineRule="auto"/>
        <w:ind w:left="2948"/>
        <w:rPr>
          <w:b/>
          <w:sz w:val="24"/>
        </w:rPr>
      </w:pPr>
      <w:r w:rsidRPr="009B1BB3">
        <w:rPr>
          <w:b/>
          <w:sz w:val="24"/>
        </w:rPr>
        <w:t>2.2. Empirical review</w:t>
      </w:r>
    </w:p>
    <w:p w14:paraId="64CCC0C3" w14:textId="77777777" w:rsidR="00B80138" w:rsidRPr="00B80138" w:rsidRDefault="00B80138" w:rsidP="00B80138">
      <w:pPr>
        <w:widowControl w:val="0"/>
        <w:overflowPunct w:val="0"/>
        <w:adjustRightInd w:val="0"/>
        <w:snapToGrid w:val="0"/>
        <w:spacing w:after="0" w:line="288" w:lineRule="auto"/>
        <w:ind w:left="2948" w:firstLine="442"/>
        <w:jc w:val="both"/>
        <w:rPr>
          <w:rFonts w:eastAsia="宋体"/>
          <w:szCs w:val="22"/>
        </w:rPr>
      </w:pPr>
      <w:r w:rsidRPr="00B80138">
        <w:rPr>
          <w:rFonts w:eastAsia="宋体"/>
          <w:szCs w:val="22"/>
        </w:rPr>
        <w:t>Failed economic growth of many countries leads to reduced income and human poverty</w:t>
      </w:r>
      <w:r w:rsidRPr="00B80138">
        <w:rPr>
          <w:rFonts w:eastAsia="宋体"/>
          <w:b/>
          <w:bCs/>
          <w:szCs w:val="22"/>
        </w:rPr>
        <w:t>:</w:t>
      </w:r>
      <w:r w:rsidRPr="00B80138">
        <w:rPr>
          <w:rFonts w:eastAsia="宋体"/>
          <w:szCs w:val="22"/>
        </w:rPr>
        <w:t xml:space="preserve"> It needs to be pointed out however, that while economic growth does contribute to poverty reduction there are still losers from the adjustments that growth requires. Moreover, economic growth explains only about half of poverty reduction. The rest depends on good policy to harness the growth poverty reduction. In many countries, growth failed to reduce poverty, either because growth had been too slow or stagnant or because its quality and structure had been insufficiently pro-poor [44].</w:t>
      </w:r>
    </w:p>
    <w:p w14:paraId="1E0BF35A" w14:textId="77777777" w:rsidR="00B80138" w:rsidRPr="00B80138" w:rsidRDefault="00B80138" w:rsidP="00B80138">
      <w:pPr>
        <w:widowControl w:val="0"/>
        <w:overflowPunct w:val="0"/>
        <w:adjustRightInd w:val="0"/>
        <w:snapToGrid w:val="0"/>
        <w:spacing w:after="0" w:line="288" w:lineRule="auto"/>
        <w:ind w:left="2948" w:firstLine="442"/>
        <w:jc w:val="both"/>
        <w:rPr>
          <w:rFonts w:eastAsia="宋体"/>
          <w:szCs w:val="22"/>
        </w:rPr>
      </w:pPr>
      <w:r w:rsidRPr="00B80138">
        <w:rPr>
          <w:rFonts w:eastAsia="宋体"/>
          <w:szCs w:val="22"/>
        </w:rPr>
        <w:t>Bridging the gap between people living in poverty and the rich is essential to the growth of society by encouraging the people living in poverty to participate in pro-poor activities which will help them to reduce the gap between the rich and the poor [45]. One of the effects of unequal distribution of income and wealth in the country is that it will result in poverty, which is reflected in low consumption levels, low per capita income, and low standard of living of the mass of the people, despite more than two decades of development planning, hunger, malnourishment and suffering from the chronic and debilitating disease are still the bane of the majority of the population in India [46]. The elimination of widespread poverty and even high growing income inequality are the core of all development problems and define for many people the principal objective of development policy. Inequality is a challenge to the eradication of extreme poverty and tends to reduce the pace and durability of growth [47,48].</w:t>
      </w:r>
    </w:p>
    <w:p w14:paraId="4B83767F" w14:textId="77777777" w:rsidR="00B80138" w:rsidRPr="00B80138" w:rsidRDefault="00B80138" w:rsidP="00B80138">
      <w:pPr>
        <w:widowControl w:val="0"/>
        <w:overflowPunct w:val="0"/>
        <w:adjustRightInd w:val="0"/>
        <w:snapToGrid w:val="0"/>
        <w:spacing w:after="0" w:line="288" w:lineRule="auto"/>
        <w:ind w:left="2948" w:firstLine="442"/>
        <w:jc w:val="both"/>
        <w:rPr>
          <w:rFonts w:eastAsia="宋体"/>
          <w:szCs w:val="22"/>
        </w:rPr>
      </w:pPr>
      <w:r w:rsidRPr="00B80138">
        <w:rPr>
          <w:rFonts w:eastAsia="宋体"/>
          <w:szCs w:val="22"/>
        </w:rPr>
        <w:t xml:space="preserve">Ben [18] used trends tables and graphical illustrations to </w:t>
      </w:r>
      <w:proofErr w:type="spellStart"/>
      <w:r w:rsidRPr="00B80138">
        <w:rPr>
          <w:rFonts w:eastAsia="宋体"/>
          <w:szCs w:val="22"/>
        </w:rPr>
        <w:t>analyse</w:t>
      </w:r>
      <w:proofErr w:type="spellEnd"/>
      <w:r w:rsidRPr="00B80138">
        <w:rPr>
          <w:rFonts w:eastAsia="宋体"/>
          <w:szCs w:val="22"/>
        </w:rPr>
        <w:t xml:space="preserve"> the economic growth-inequality-poverty relationship in Nigeria from (1982–2006). Empirically, the research tested the growth-inequality-poverty nexus in the Nigerian context. Using two levels of analysis, first, a simple correlation analysis in which the correlation between growth and poverty was done; followed by an estimation of growth elasticity of poverty. Findings from the study showed that despite the economy’s strong growth performance, poverty incidence has remained high as well as income inequality. Breunig and Majeed [31] in their research they used panel data for 152 countries that have income inequality and gross domestic product data, only 5 years from 1956–2011 were sampled with the simplest growth regression on inequality, poverty, and economic growth has highlighted a negative impact of inequality on economic growth, especially in countries with high poverty.</w:t>
      </w:r>
    </w:p>
    <w:p w14:paraId="0D65C5D3" w14:textId="77777777" w:rsidR="00B80138" w:rsidRPr="00B80138" w:rsidRDefault="00B80138" w:rsidP="00B80138">
      <w:pPr>
        <w:widowControl w:val="0"/>
        <w:overflowPunct w:val="0"/>
        <w:adjustRightInd w:val="0"/>
        <w:snapToGrid w:val="0"/>
        <w:spacing w:after="0" w:line="288" w:lineRule="auto"/>
        <w:ind w:left="2948" w:firstLine="442"/>
        <w:jc w:val="both"/>
        <w:rPr>
          <w:rFonts w:eastAsia="宋体"/>
          <w:szCs w:val="22"/>
        </w:rPr>
      </w:pPr>
      <w:r w:rsidRPr="00B80138">
        <w:rPr>
          <w:rFonts w:eastAsia="宋体"/>
          <w:szCs w:val="22"/>
        </w:rPr>
        <w:t xml:space="preserve">Okafor [17] examined the existing relationship between economic growth, poverty, and income inequality in Nigeria. Using the Vector Auto-regressive (VAR) model and the Engle-Granger technique to test for the causality existing among the variables, the results revealed that economic growth had no impact on poverty reduction and income distribution in Nigeria due to its non-inclusive nature. There was, however, evidence of a unidirectional causality, running from income inequality </w:t>
      </w:r>
      <w:r w:rsidRPr="00B80138">
        <w:rPr>
          <w:rFonts w:eastAsia="宋体"/>
          <w:szCs w:val="22"/>
        </w:rPr>
        <w:lastRenderedPageBreak/>
        <w:t>to increased poverty. This implied that inequality would lead to an increase in poverty in Nigeria. Therefore, the paper recommended that the government should develop stronger economic institutions that are capable of reorganizing the productive base and reward system in the economy so as to promote and guarantee economic efficiency, equity macroeconomic stability, and inclusive growth.</w:t>
      </w:r>
    </w:p>
    <w:p w14:paraId="1462E168" w14:textId="77777777" w:rsidR="00B80138" w:rsidRPr="00B80138" w:rsidRDefault="00B80138" w:rsidP="00B80138">
      <w:pPr>
        <w:widowControl w:val="0"/>
        <w:overflowPunct w:val="0"/>
        <w:adjustRightInd w:val="0"/>
        <w:snapToGrid w:val="0"/>
        <w:spacing w:after="0" w:line="288" w:lineRule="auto"/>
        <w:ind w:left="2948" w:firstLine="442"/>
        <w:jc w:val="both"/>
        <w:rPr>
          <w:rFonts w:eastAsia="宋体"/>
          <w:szCs w:val="22"/>
        </w:rPr>
      </w:pPr>
      <w:r w:rsidRPr="00B80138">
        <w:rPr>
          <w:rFonts w:eastAsia="宋体"/>
          <w:szCs w:val="22"/>
        </w:rPr>
        <w:t xml:space="preserve">Onwuka [49] empirically examined the relationship between poverty, income inequality, and economic growth in Nigeria. The study findings revealed that income inequality has a negative relationship with economic growth. Furthermore, poverty and income inequality were demonstrated to exert an insignificant effect on economic growth in Nigeria. Thus, the study concluded that poverty and income inequality have no significant relationship with economic growth in Nigeria. A similar study by Carrera and De la Vaga [36] examined the effect of income inequality on government borrowing for 158 economies. They applied various panel data techniques and found that inequality Granger-causes government debt. It was further revealed by the study that a rise in inequality is usually followed by an increase in public debt in the studied countries. In contrast, </w:t>
      </w:r>
      <w:proofErr w:type="spellStart"/>
      <w:r w:rsidRPr="00B80138">
        <w:rPr>
          <w:rFonts w:eastAsia="宋体"/>
          <w:szCs w:val="22"/>
        </w:rPr>
        <w:t>Biglaiser</w:t>
      </w:r>
      <w:proofErr w:type="spellEnd"/>
      <w:r w:rsidRPr="00B80138">
        <w:rPr>
          <w:rFonts w:eastAsia="宋体"/>
          <w:szCs w:val="22"/>
        </w:rPr>
        <w:t xml:space="preserve"> and McGauvran [35] showed the association between debt restructuring and income inequality in 71 developing economies. Their findings revealed that countries engaging in debt restructurings are likely to deploy their acquired economic flexibility to lower social expenditure and taxes, aggravating income inequality.</w:t>
      </w:r>
    </w:p>
    <w:p w14:paraId="306E1DA3" w14:textId="77777777" w:rsidR="00B80138" w:rsidRPr="00B80138" w:rsidRDefault="00B80138" w:rsidP="00B80138">
      <w:pPr>
        <w:widowControl w:val="0"/>
        <w:overflowPunct w:val="0"/>
        <w:adjustRightInd w:val="0"/>
        <w:snapToGrid w:val="0"/>
        <w:spacing w:after="0" w:line="288" w:lineRule="auto"/>
        <w:ind w:left="2948" w:firstLine="442"/>
        <w:jc w:val="both"/>
        <w:rPr>
          <w:rFonts w:eastAsia="宋体"/>
          <w:szCs w:val="22"/>
        </w:rPr>
      </w:pPr>
      <w:r w:rsidRPr="00B80138">
        <w:rPr>
          <w:rFonts w:eastAsia="宋体"/>
          <w:szCs w:val="22"/>
        </w:rPr>
        <w:t>Also, Jin and Hong [50] demonstrated that the more income an individual receives, the better the quality of human life and happiness enjoyed. Likewise, Severino et al. [51] revealed in their study an unequal concentration of QoL associated with uneven income levels in Chile. Inequalities have also been found to hinder social cohesion and increase the risk of violent conflict [12]. Inequality undermines social justice and human rights. Inequalities have resulted in the poorest people—including many women, young and older people, persons with disabilities, indigenous peoples, and rural populations—making less progress towards development goals [52,53]. Economic, political, and social inequalities tend to reproduce themselves over time and across generations [54]. There is some overlap between those affected by poverty and those negatively affected by inequality, although it is important to note that certain groups and individuals are disproportionately affected. Deprivation or inequality in one dimension can influence other dimensions: for example, social inequality can lead to economic inequality [52]. It is important to understand the drivers of poverty and inequality to combat them effectively.</w:t>
      </w:r>
    </w:p>
    <w:p w14:paraId="0B73BB4D" w14:textId="77777777" w:rsidR="00B80138" w:rsidRPr="00B80138" w:rsidRDefault="00B80138" w:rsidP="00B80138">
      <w:pPr>
        <w:widowControl w:val="0"/>
        <w:overflowPunct w:val="0"/>
        <w:adjustRightInd w:val="0"/>
        <w:snapToGrid w:val="0"/>
        <w:spacing w:after="0" w:line="288" w:lineRule="auto"/>
        <w:ind w:left="2948" w:firstLine="442"/>
        <w:jc w:val="both"/>
        <w:rPr>
          <w:rFonts w:eastAsia="宋体"/>
          <w:szCs w:val="22"/>
        </w:rPr>
      </w:pPr>
      <w:r w:rsidRPr="00B80138">
        <w:rPr>
          <w:rFonts w:eastAsia="宋体"/>
          <w:szCs w:val="22"/>
        </w:rPr>
        <w:t xml:space="preserve">In the study by Seher [32], the effect of income inequality on economic growth is realized through a transmission channel theoretically expressed. The analysis used panel data econometrics techniques in which 143 countries were divided into two groups by considering their income levels for the period between 1980 and 2017 through positive and negative channels. The study found that high inequality adversely affects economic growth. However, the study noted that inequality in the absence of poverty does not appear to have a statistically significant effect on economic growth. Thus, as poverty increases, the effect of poverty inequality on economic growth becomes negative and statistically significant. Furthermore, Obiero and Topuz [39], in their study, determined the impact of public and domestic indebtedness on income inequality for Kenya. By applying the ARDL method, the study submitted that both </w:t>
      </w:r>
      <w:r w:rsidRPr="00B80138">
        <w:rPr>
          <w:rFonts w:eastAsia="宋体"/>
          <w:szCs w:val="22"/>
        </w:rPr>
        <w:lastRenderedPageBreak/>
        <w:t>domestic and public borrowing are detrimental to income inequality in the long run for Kenya.</w:t>
      </w:r>
    </w:p>
    <w:p w14:paraId="71E53E94" w14:textId="77777777" w:rsidR="00B80138" w:rsidRPr="00B80138" w:rsidRDefault="00B80138" w:rsidP="00B80138">
      <w:pPr>
        <w:widowControl w:val="0"/>
        <w:overflowPunct w:val="0"/>
        <w:adjustRightInd w:val="0"/>
        <w:snapToGrid w:val="0"/>
        <w:spacing w:after="0" w:line="288" w:lineRule="auto"/>
        <w:ind w:left="2948" w:firstLine="442"/>
        <w:jc w:val="both"/>
        <w:rPr>
          <w:rFonts w:eastAsia="宋体"/>
          <w:szCs w:val="22"/>
        </w:rPr>
      </w:pPr>
      <w:r w:rsidRPr="00B80138">
        <w:rPr>
          <w:rFonts w:eastAsia="宋体"/>
          <w:szCs w:val="22"/>
        </w:rPr>
        <w:t>In a study of Vietnam, Zhu et al. [33] demonstrated that poverty and inequality significantly and negatively impacted the economic growth of the country. Specifically, the effect was found to be severe among the highly poverty-prone population of the country. Nguyen [19] employed the system-</w:t>
      </w:r>
      <w:proofErr w:type="spellStart"/>
      <w:r w:rsidRPr="00B80138">
        <w:rPr>
          <w:rFonts w:eastAsia="宋体"/>
          <w:szCs w:val="22"/>
        </w:rPr>
        <w:t>generalised</w:t>
      </w:r>
      <w:proofErr w:type="spellEnd"/>
      <w:r w:rsidRPr="00B80138">
        <w:rPr>
          <w:rFonts w:eastAsia="宋体"/>
          <w:szCs w:val="22"/>
        </w:rPr>
        <w:t xml:space="preserve"> method of moments (GMM) and panel mean group (PMG) techniques to determine the effect of public debt, institutional quality, and economic growth on income inequality in 30 developed countries. Results from the research revealed that while government borrowing and institutional quality reduce income inequality, economic growth widens it. In another study, Okere et al. [20] noted that drivers of poverty include shocks; lack of inclusive economic growth and jobs; insecure jobs and low wages; limited opportunities; low capabilities; inequality; poor governance; weak civil society; lack of respect for human rights; climate change; the global recession; violent conflict and displacement; and an individual’s human capital, physical and social assets, and </w:t>
      </w:r>
      <w:proofErr w:type="spellStart"/>
      <w:r w:rsidRPr="00B80138">
        <w:rPr>
          <w:rFonts w:eastAsia="宋体"/>
          <w:szCs w:val="22"/>
        </w:rPr>
        <w:t>behaviour</w:t>
      </w:r>
      <w:proofErr w:type="spellEnd"/>
      <w:r w:rsidRPr="00B80138">
        <w:rPr>
          <w:rFonts w:eastAsia="宋体"/>
          <w:szCs w:val="22"/>
        </w:rPr>
        <w:t>.</w:t>
      </w:r>
    </w:p>
    <w:p w14:paraId="029EAA28" w14:textId="77777777" w:rsidR="00B80138" w:rsidRPr="00B80138" w:rsidRDefault="00B80138" w:rsidP="00B80138">
      <w:pPr>
        <w:widowControl w:val="0"/>
        <w:overflowPunct w:val="0"/>
        <w:adjustRightInd w:val="0"/>
        <w:snapToGrid w:val="0"/>
        <w:spacing w:after="0" w:line="288" w:lineRule="auto"/>
        <w:ind w:left="2948" w:firstLine="442"/>
        <w:jc w:val="both"/>
        <w:rPr>
          <w:rFonts w:eastAsia="宋体"/>
          <w:szCs w:val="22"/>
        </w:rPr>
      </w:pPr>
      <w:r w:rsidRPr="00B80138">
        <w:rPr>
          <w:rFonts w:eastAsia="宋体"/>
          <w:szCs w:val="22"/>
        </w:rPr>
        <w:t>Andoh et al. [34] tried to determine the level at which public indebtedness elevates inequality in African countries, hence estimating a debt-inequality threshold. The outcome of the study showed that government debt promotes inequality, and the impact doubles when public borrowing hits 57.47%. While tax burden was found to aggravate the effect of public debt on inequality, control of corruption actually lessens it for the 38 African economies examined. Similarly, Mutascu et al. [37] used the Bayesian model averaging technique to examine the effect of public debt on inequality in different SSA economies. The study expressed that government debt actually lowered inequality among the poor while harming the wealthy in the WAEMU region. Furthermore, the research observed that public borrowing was neutral on inequality in EMCCA countries but could aid income redistribution under strict corruption control.</w:t>
      </w:r>
    </w:p>
    <w:p w14:paraId="1BF273B6" w14:textId="77777777" w:rsidR="00B80138" w:rsidRPr="00B80138" w:rsidRDefault="00B80138" w:rsidP="00B80138">
      <w:pPr>
        <w:widowControl w:val="0"/>
        <w:overflowPunct w:val="0"/>
        <w:adjustRightInd w:val="0"/>
        <w:snapToGrid w:val="0"/>
        <w:spacing w:after="0" w:line="288" w:lineRule="auto"/>
        <w:ind w:left="2948" w:firstLine="442"/>
        <w:jc w:val="both"/>
        <w:rPr>
          <w:rFonts w:eastAsia="宋体"/>
          <w:szCs w:val="22"/>
        </w:rPr>
      </w:pPr>
      <w:r w:rsidRPr="00B80138">
        <w:rPr>
          <w:rFonts w:eastAsia="宋体"/>
          <w:szCs w:val="22"/>
        </w:rPr>
        <w:t xml:space="preserve">Also, Nguyen [38] tried to </w:t>
      </w:r>
      <w:proofErr w:type="spellStart"/>
      <w:r w:rsidRPr="00B80138">
        <w:rPr>
          <w:rFonts w:eastAsia="宋体"/>
          <w:szCs w:val="22"/>
        </w:rPr>
        <w:t>analyse</w:t>
      </w:r>
      <w:proofErr w:type="spellEnd"/>
      <w:r w:rsidRPr="00B80138">
        <w:rPr>
          <w:rFonts w:eastAsia="宋体"/>
          <w:szCs w:val="22"/>
        </w:rPr>
        <w:t xml:space="preserve"> the nexus between public debt and inequality in developing and developed countries. By applying the GMM estimation approach, the study demonstrated that while government borrowing deflates inequality in advanced economies, it widens the same in developing economies. In contrast, the study expressed that economic prosperity widens inequality in advanced countries but reduces it in developing nations.</w:t>
      </w:r>
    </w:p>
    <w:p w14:paraId="3F4DC2EB" w14:textId="77777777" w:rsidR="00B80138" w:rsidRPr="00B80138" w:rsidRDefault="00B80138" w:rsidP="00B80138">
      <w:pPr>
        <w:widowControl w:val="0"/>
        <w:overflowPunct w:val="0"/>
        <w:adjustRightInd w:val="0"/>
        <w:snapToGrid w:val="0"/>
        <w:spacing w:after="0" w:line="288" w:lineRule="auto"/>
        <w:ind w:left="2948" w:firstLine="442"/>
        <w:jc w:val="both"/>
        <w:rPr>
          <w:rFonts w:eastAsia="宋体"/>
          <w:szCs w:val="22"/>
        </w:rPr>
      </w:pPr>
      <w:r w:rsidRPr="00B80138">
        <w:rPr>
          <w:rFonts w:eastAsia="宋体"/>
          <w:szCs w:val="22"/>
        </w:rPr>
        <w:t>In summary, the above empirical research has examined the effects of income inequality and poverty on economic growth, the nexus between poverty and income inequality, public debt, economic growth, and income inequality. Seldom is their research investigated the simultaneous impacts of external debt, institutional quality, and economic prosperity on poverty and income inequality, particularly for developing economies. Nguyen [19] was the only close empirical study to have tried determining the impacts of public borrowing, institutional quality, and economic prosperity on income inequality; however, the study was for 30 advanced economies. Accordingly, this study bridges this empirical gap by examining whether economic growth, foreign debt, and institutional quality have been aiding the rise in poverty and income inequality in a developing country. Thus, this research extends the literature on the determinants of poverty and income inequality in Nigeria.</w:t>
      </w:r>
    </w:p>
    <w:p w14:paraId="2AC5E16D" w14:textId="3D619D08" w:rsidR="00BF0F78" w:rsidRPr="009B1BB3" w:rsidRDefault="00B80138" w:rsidP="00B80138">
      <w:pPr>
        <w:widowControl w:val="0"/>
        <w:overflowPunct w:val="0"/>
        <w:adjustRightInd w:val="0"/>
        <w:snapToGrid w:val="0"/>
        <w:spacing w:after="0" w:line="288" w:lineRule="auto"/>
        <w:ind w:left="2948" w:firstLine="442"/>
        <w:jc w:val="both"/>
        <w:rPr>
          <w:rFonts w:eastAsia="宋体" w:hint="eastAsia"/>
          <w:szCs w:val="22"/>
          <w:lang w:eastAsia="zh-CN"/>
        </w:rPr>
      </w:pPr>
      <w:r w:rsidRPr="00B80138">
        <w:rPr>
          <w:rFonts w:eastAsia="宋体"/>
          <w:szCs w:val="22"/>
        </w:rPr>
        <w:t xml:space="preserve">The empirical lacuna in extant studies has shown that studies examining the effect </w:t>
      </w:r>
      <w:r w:rsidRPr="00B80138">
        <w:rPr>
          <w:rFonts w:eastAsia="宋体"/>
          <w:szCs w:val="22"/>
        </w:rPr>
        <w:lastRenderedPageBreak/>
        <w:t>of economic prosperity, foreign indebtedness, and institutional quality on the poverty and inequality gap, particularly for Nigeria, are scant. Thus, this research fills this lacuna in the literature.</w:t>
      </w:r>
    </w:p>
    <w:p w14:paraId="0465CF98" w14:textId="77777777" w:rsidR="00BF0F78" w:rsidRPr="009B1BB3" w:rsidRDefault="00000000">
      <w:pPr>
        <w:widowControl w:val="0"/>
        <w:overflowPunct w:val="0"/>
        <w:adjustRightInd w:val="0"/>
        <w:snapToGrid w:val="0"/>
        <w:spacing w:before="240" w:after="120" w:line="288" w:lineRule="auto"/>
        <w:ind w:left="2948"/>
        <w:rPr>
          <w:b/>
          <w:sz w:val="26"/>
        </w:rPr>
      </w:pPr>
      <w:r w:rsidRPr="009B1BB3">
        <w:rPr>
          <w:b/>
          <w:sz w:val="26"/>
        </w:rPr>
        <w:t>3. Data and Methodology</w:t>
      </w:r>
    </w:p>
    <w:p w14:paraId="50D9A826" w14:textId="77777777" w:rsidR="00BF0F78" w:rsidRPr="009B1BB3" w:rsidRDefault="00000000">
      <w:pPr>
        <w:widowControl w:val="0"/>
        <w:overflowPunct w:val="0"/>
        <w:adjustRightInd w:val="0"/>
        <w:snapToGrid w:val="0"/>
        <w:spacing w:before="240" w:after="60" w:line="288" w:lineRule="auto"/>
        <w:ind w:left="2948"/>
        <w:rPr>
          <w:b/>
          <w:sz w:val="24"/>
        </w:rPr>
      </w:pPr>
      <w:r w:rsidRPr="009B1BB3">
        <w:rPr>
          <w:b/>
          <w:sz w:val="24"/>
        </w:rPr>
        <w:t>3.1. Data</w:t>
      </w:r>
    </w:p>
    <w:p w14:paraId="376DBBB9" w14:textId="1D2E6C81" w:rsidR="00BF0F78" w:rsidRPr="009B1BB3" w:rsidRDefault="00163F74" w:rsidP="00163F74">
      <w:pPr>
        <w:widowControl w:val="0"/>
        <w:overflowPunct w:val="0"/>
        <w:autoSpaceDE w:val="0"/>
        <w:autoSpaceDN w:val="0"/>
        <w:adjustRightInd w:val="0"/>
        <w:snapToGrid w:val="0"/>
        <w:spacing w:after="0" w:line="288" w:lineRule="auto"/>
        <w:ind w:left="2948" w:firstLine="442"/>
        <w:jc w:val="both"/>
        <w:rPr>
          <w:rFonts w:eastAsia="宋体" w:hint="eastAsia"/>
          <w:szCs w:val="22"/>
          <w:lang w:eastAsia="zh-CN"/>
        </w:rPr>
      </w:pPr>
      <w:r w:rsidRPr="00163F74">
        <w:rPr>
          <w:rFonts w:eastAsia="宋体"/>
          <w:szCs w:val="22"/>
        </w:rPr>
        <w:t xml:space="preserve">Represented in </w:t>
      </w:r>
      <w:r w:rsidRPr="00163F74">
        <w:rPr>
          <w:rFonts w:eastAsia="宋体"/>
          <w:b/>
          <w:bCs/>
          <w:szCs w:val="22"/>
        </w:rPr>
        <w:t>Table 1</w:t>
      </w:r>
      <w:r w:rsidRPr="00163F74">
        <w:rPr>
          <w:rFonts w:eastAsia="宋体"/>
          <w:szCs w:val="22"/>
        </w:rPr>
        <w:t xml:space="preserve"> is the list of variables and their measurements used for empirical analysis in the study. This data consisted of annual series sourced from 1990 to 2022 for Nigeria. Two dependent variables, poverty and inequality, were used in the study. To measure economic growth, the study applied the gross domestic product (GDP) per capita measure. This measure is preferred to conventional GDP indicators since it captures the individual contribution of the population to the growth of the economy [55,56].</w:t>
      </w:r>
    </w:p>
    <w:p w14:paraId="0F14AD79" w14:textId="77777777" w:rsidR="00BF0F78" w:rsidRPr="009B1BB3" w:rsidRDefault="00000000">
      <w:pPr>
        <w:widowControl w:val="0"/>
        <w:overflowPunct w:val="0"/>
        <w:adjustRightInd w:val="0"/>
        <w:snapToGrid w:val="0"/>
        <w:spacing w:before="240" w:after="60" w:line="288" w:lineRule="auto"/>
        <w:jc w:val="center"/>
      </w:pPr>
      <w:r w:rsidRPr="009B1BB3">
        <w:rPr>
          <w:b/>
        </w:rPr>
        <w:t>Table 1.</w:t>
      </w:r>
      <w:r w:rsidRPr="009B1BB3">
        <w:t xml:space="preserve"> Variable description.</w:t>
      </w:r>
    </w:p>
    <w:tbl>
      <w:tblPr>
        <w:tblStyle w:val="TableGrid1"/>
        <w:tblW w:w="5000" w:type="pct"/>
        <w:tblBorders>
          <w:top w:val="single" w:sz="8" w:space="0" w:color="auto"/>
          <w:left w:val="none" w:sz="0" w:space="0" w:color="auto"/>
          <w:bottom w:val="single" w:sz="8"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851"/>
        <w:gridCol w:w="3112"/>
        <w:gridCol w:w="4669"/>
        <w:gridCol w:w="835"/>
      </w:tblGrid>
      <w:tr w:rsidR="009966AD" w:rsidRPr="0030787F" w14:paraId="3E120714" w14:textId="77777777">
        <w:tc>
          <w:tcPr>
            <w:tcW w:w="0" w:type="auto"/>
            <w:tcBorders>
              <w:top w:val="single" w:sz="8" w:space="0" w:color="auto"/>
              <w:bottom w:val="single" w:sz="4" w:space="0" w:color="auto"/>
            </w:tcBorders>
            <w:vAlign w:val="center"/>
          </w:tcPr>
          <w:p w14:paraId="274FB16F" w14:textId="77777777" w:rsidR="00BF0F78" w:rsidRPr="0030787F" w:rsidRDefault="00000000">
            <w:pPr>
              <w:widowControl w:val="0"/>
              <w:overflowPunct w:val="0"/>
              <w:adjustRightInd w:val="0"/>
              <w:snapToGrid w:val="0"/>
              <w:spacing w:after="0" w:line="240" w:lineRule="auto"/>
              <w:rPr>
                <w:rFonts w:ascii="Times New Roman" w:hAnsi="Times New Roman" w:cs="Times New Roman"/>
                <w:b/>
                <w:bCs/>
                <w:sz w:val="18"/>
                <w:szCs w:val="22"/>
                <w:lang w:val="en-US"/>
              </w:rPr>
            </w:pPr>
            <w:r w:rsidRPr="0030787F">
              <w:rPr>
                <w:rFonts w:ascii="Times New Roman" w:hAnsi="Times New Roman" w:cs="Times New Roman"/>
                <w:b/>
                <w:bCs/>
                <w:sz w:val="18"/>
                <w:szCs w:val="22"/>
                <w:lang w:val="en-US"/>
              </w:rPr>
              <w:t>Variable</w:t>
            </w:r>
          </w:p>
        </w:tc>
        <w:tc>
          <w:tcPr>
            <w:tcW w:w="0" w:type="auto"/>
            <w:tcBorders>
              <w:top w:val="single" w:sz="8" w:space="0" w:color="auto"/>
              <w:bottom w:val="single" w:sz="4" w:space="0" w:color="auto"/>
            </w:tcBorders>
            <w:vAlign w:val="center"/>
          </w:tcPr>
          <w:p w14:paraId="3756A4D3" w14:textId="77777777" w:rsidR="00BF0F78" w:rsidRPr="0030787F" w:rsidRDefault="00000000">
            <w:pPr>
              <w:widowControl w:val="0"/>
              <w:overflowPunct w:val="0"/>
              <w:adjustRightInd w:val="0"/>
              <w:snapToGrid w:val="0"/>
              <w:spacing w:after="0" w:line="240" w:lineRule="auto"/>
              <w:rPr>
                <w:rFonts w:ascii="Times New Roman" w:hAnsi="Times New Roman" w:cs="Times New Roman"/>
                <w:b/>
                <w:bCs/>
                <w:sz w:val="18"/>
                <w:szCs w:val="22"/>
                <w:lang w:val="en-US"/>
              </w:rPr>
            </w:pPr>
            <w:r w:rsidRPr="0030787F">
              <w:rPr>
                <w:rFonts w:ascii="Times New Roman" w:hAnsi="Times New Roman" w:cs="Times New Roman"/>
                <w:b/>
                <w:bCs/>
                <w:sz w:val="18"/>
                <w:szCs w:val="22"/>
                <w:lang w:val="en-US"/>
              </w:rPr>
              <w:t>Measurement</w:t>
            </w:r>
          </w:p>
        </w:tc>
        <w:tc>
          <w:tcPr>
            <w:tcW w:w="0" w:type="auto"/>
            <w:tcBorders>
              <w:top w:val="single" w:sz="8" w:space="0" w:color="auto"/>
              <w:bottom w:val="single" w:sz="4" w:space="0" w:color="auto"/>
            </w:tcBorders>
            <w:vAlign w:val="center"/>
          </w:tcPr>
          <w:p w14:paraId="11FE00A8" w14:textId="77777777" w:rsidR="00BF0F78" w:rsidRPr="0030787F" w:rsidRDefault="00000000">
            <w:pPr>
              <w:widowControl w:val="0"/>
              <w:overflowPunct w:val="0"/>
              <w:adjustRightInd w:val="0"/>
              <w:snapToGrid w:val="0"/>
              <w:spacing w:after="0" w:line="240" w:lineRule="auto"/>
              <w:rPr>
                <w:rFonts w:ascii="Times New Roman" w:hAnsi="Times New Roman" w:cs="Times New Roman"/>
                <w:b/>
                <w:bCs/>
                <w:sz w:val="18"/>
                <w:szCs w:val="22"/>
                <w:lang w:val="en-US"/>
              </w:rPr>
            </w:pPr>
            <w:r w:rsidRPr="0030787F">
              <w:rPr>
                <w:rFonts w:ascii="Times New Roman" w:hAnsi="Times New Roman" w:cs="Times New Roman"/>
                <w:b/>
                <w:bCs/>
                <w:sz w:val="18"/>
                <w:szCs w:val="22"/>
                <w:lang w:val="en-US"/>
              </w:rPr>
              <w:t>Sources</w:t>
            </w:r>
          </w:p>
        </w:tc>
        <w:tc>
          <w:tcPr>
            <w:tcW w:w="0" w:type="auto"/>
            <w:tcBorders>
              <w:top w:val="single" w:sz="8" w:space="0" w:color="auto"/>
              <w:bottom w:val="single" w:sz="4" w:space="0" w:color="auto"/>
            </w:tcBorders>
            <w:vAlign w:val="center"/>
          </w:tcPr>
          <w:p w14:paraId="586BE3E1" w14:textId="77777777" w:rsidR="00BF0F78" w:rsidRPr="0030787F" w:rsidRDefault="00000000">
            <w:pPr>
              <w:widowControl w:val="0"/>
              <w:overflowPunct w:val="0"/>
              <w:adjustRightInd w:val="0"/>
              <w:snapToGrid w:val="0"/>
              <w:spacing w:after="0" w:line="240" w:lineRule="auto"/>
              <w:rPr>
                <w:rFonts w:ascii="Times New Roman" w:hAnsi="Times New Roman" w:cs="Times New Roman"/>
                <w:b/>
                <w:bCs/>
                <w:sz w:val="18"/>
                <w:szCs w:val="22"/>
                <w:lang w:val="en-US"/>
              </w:rPr>
            </w:pPr>
            <w:r w:rsidRPr="0030787F">
              <w:rPr>
                <w:rFonts w:ascii="Times New Roman" w:hAnsi="Times New Roman" w:cs="Times New Roman"/>
                <w:b/>
                <w:bCs/>
                <w:sz w:val="18"/>
                <w:szCs w:val="22"/>
                <w:lang w:val="en-US"/>
              </w:rPr>
              <w:t>Symbol</w:t>
            </w:r>
          </w:p>
        </w:tc>
      </w:tr>
      <w:tr w:rsidR="009966AD" w:rsidRPr="0030787F" w14:paraId="52F55BE4" w14:textId="77777777">
        <w:tc>
          <w:tcPr>
            <w:tcW w:w="0" w:type="auto"/>
            <w:tcBorders>
              <w:top w:val="single" w:sz="4" w:space="0" w:color="auto"/>
            </w:tcBorders>
            <w:vAlign w:val="center"/>
          </w:tcPr>
          <w:p w14:paraId="54A66A06" w14:textId="77777777" w:rsidR="00BF0F78" w:rsidRPr="0030787F" w:rsidRDefault="00000000">
            <w:pPr>
              <w:widowControl w:val="0"/>
              <w:overflowPunct w:val="0"/>
              <w:adjustRightInd w:val="0"/>
              <w:snapToGrid w:val="0"/>
              <w:spacing w:after="0" w:line="240" w:lineRule="auto"/>
              <w:rPr>
                <w:rFonts w:ascii="Times New Roman" w:hAnsi="Times New Roman" w:cs="Times New Roman"/>
                <w:sz w:val="18"/>
                <w:szCs w:val="22"/>
                <w:lang w:val="en-US"/>
              </w:rPr>
            </w:pPr>
            <w:r w:rsidRPr="0030787F">
              <w:rPr>
                <w:rFonts w:ascii="Times New Roman" w:hAnsi="Times New Roman" w:cs="Times New Roman"/>
                <w:sz w:val="18"/>
                <w:szCs w:val="22"/>
                <w:lang w:val="en-US"/>
              </w:rPr>
              <w:t xml:space="preserve">Poverty </w:t>
            </w:r>
          </w:p>
        </w:tc>
        <w:tc>
          <w:tcPr>
            <w:tcW w:w="0" w:type="auto"/>
            <w:tcBorders>
              <w:top w:val="single" w:sz="4" w:space="0" w:color="auto"/>
            </w:tcBorders>
            <w:vAlign w:val="center"/>
          </w:tcPr>
          <w:p w14:paraId="0F3E4744" w14:textId="77777777" w:rsidR="00BF0F78" w:rsidRPr="0030787F" w:rsidRDefault="00000000">
            <w:pPr>
              <w:widowControl w:val="0"/>
              <w:overflowPunct w:val="0"/>
              <w:adjustRightInd w:val="0"/>
              <w:snapToGrid w:val="0"/>
              <w:spacing w:after="0" w:line="240" w:lineRule="auto"/>
              <w:rPr>
                <w:rFonts w:ascii="Times New Roman" w:hAnsi="Times New Roman" w:cs="Times New Roman"/>
                <w:sz w:val="18"/>
                <w:szCs w:val="22"/>
                <w:lang w:val="en-US"/>
              </w:rPr>
            </w:pPr>
            <w:r w:rsidRPr="0030787F">
              <w:rPr>
                <w:rFonts w:ascii="Times New Roman" w:hAnsi="Times New Roman" w:cs="Times New Roman"/>
                <w:sz w:val="18"/>
                <w:szCs w:val="22"/>
                <w:lang w:val="en-US"/>
              </w:rPr>
              <w:t>Poverty gap index</w:t>
            </w:r>
          </w:p>
        </w:tc>
        <w:tc>
          <w:tcPr>
            <w:tcW w:w="0" w:type="auto"/>
            <w:tcBorders>
              <w:top w:val="single" w:sz="4" w:space="0" w:color="auto"/>
            </w:tcBorders>
            <w:vAlign w:val="center"/>
          </w:tcPr>
          <w:p w14:paraId="6340C26F" w14:textId="77777777" w:rsidR="00BF0F78" w:rsidRPr="0030787F" w:rsidRDefault="00000000">
            <w:pPr>
              <w:widowControl w:val="0"/>
              <w:overflowPunct w:val="0"/>
              <w:adjustRightInd w:val="0"/>
              <w:snapToGrid w:val="0"/>
              <w:spacing w:after="0" w:line="240" w:lineRule="auto"/>
              <w:rPr>
                <w:rFonts w:ascii="Times New Roman" w:hAnsi="Times New Roman" w:cs="Times New Roman"/>
                <w:sz w:val="18"/>
                <w:szCs w:val="22"/>
                <w:lang w:val="en-US"/>
              </w:rPr>
            </w:pPr>
            <w:r w:rsidRPr="0030787F">
              <w:rPr>
                <w:rFonts w:ascii="Times New Roman" w:hAnsi="Times New Roman" w:cs="Times New Roman"/>
                <w:sz w:val="18"/>
                <w:szCs w:val="22"/>
                <w:lang w:val="en-US"/>
              </w:rPr>
              <w:t>World Bank Poverty and Inequality Platform (2023)</w:t>
            </w:r>
          </w:p>
        </w:tc>
        <w:tc>
          <w:tcPr>
            <w:tcW w:w="0" w:type="auto"/>
            <w:tcBorders>
              <w:top w:val="single" w:sz="4" w:space="0" w:color="auto"/>
            </w:tcBorders>
            <w:vAlign w:val="center"/>
          </w:tcPr>
          <w:p w14:paraId="46700825" w14:textId="77777777" w:rsidR="00BF0F78" w:rsidRPr="0030787F" w:rsidRDefault="00000000">
            <w:pPr>
              <w:widowControl w:val="0"/>
              <w:overflowPunct w:val="0"/>
              <w:adjustRightInd w:val="0"/>
              <w:snapToGrid w:val="0"/>
              <w:spacing w:after="0" w:line="240" w:lineRule="auto"/>
              <w:rPr>
                <w:rFonts w:ascii="Times New Roman" w:hAnsi="Times New Roman" w:cs="Times New Roman"/>
                <w:iCs/>
                <w:sz w:val="18"/>
                <w:szCs w:val="22"/>
                <w:lang w:val="en-US"/>
              </w:rPr>
            </w:pPr>
            <m:oMathPara>
              <m:oMathParaPr>
                <m:jc m:val="left"/>
              </m:oMathParaPr>
              <m:oMath>
                <m:r>
                  <m:rPr>
                    <m:sty m:val="p"/>
                  </m:rPr>
                  <w:rPr>
                    <w:rFonts w:ascii="Cambria Math" w:hAnsi="Cambria Math" w:cs="Times New Roman"/>
                    <w:sz w:val="18"/>
                    <w:szCs w:val="22"/>
                    <w:lang w:val="en-US"/>
                  </w:rPr>
                  <m:t>PGI</m:t>
                </m:r>
              </m:oMath>
            </m:oMathPara>
          </w:p>
        </w:tc>
      </w:tr>
      <w:tr w:rsidR="009966AD" w:rsidRPr="0030787F" w14:paraId="440A576B" w14:textId="77777777">
        <w:tc>
          <w:tcPr>
            <w:tcW w:w="0" w:type="auto"/>
            <w:vAlign w:val="center"/>
          </w:tcPr>
          <w:p w14:paraId="29D31B9C" w14:textId="77777777" w:rsidR="00BF0F78" w:rsidRPr="0030787F" w:rsidRDefault="00000000">
            <w:pPr>
              <w:widowControl w:val="0"/>
              <w:overflowPunct w:val="0"/>
              <w:adjustRightInd w:val="0"/>
              <w:snapToGrid w:val="0"/>
              <w:spacing w:after="0" w:line="240" w:lineRule="auto"/>
              <w:rPr>
                <w:rFonts w:ascii="Times New Roman" w:hAnsi="Times New Roman" w:cs="Times New Roman"/>
                <w:sz w:val="18"/>
                <w:szCs w:val="22"/>
                <w:lang w:val="en-US"/>
              </w:rPr>
            </w:pPr>
            <w:r w:rsidRPr="0030787F">
              <w:rPr>
                <w:rFonts w:ascii="Times New Roman" w:hAnsi="Times New Roman" w:cs="Times New Roman"/>
                <w:sz w:val="18"/>
                <w:szCs w:val="22"/>
                <w:lang w:val="en-US"/>
              </w:rPr>
              <w:t xml:space="preserve">Inequality </w:t>
            </w:r>
          </w:p>
        </w:tc>
        <w:tc>
          <w:tcPr>
            <w:tcW w:w="0" w:type="auto"/>
            <w:vAlign w:val="center"/>
          </w:tcPr>
          <w:p w14:paraId="22D70B16" w14:textId="77777777" w:rsidR="00BF0F78" w:rsidRPr="0030787F" w:rsidRDefault="00000000">
            <w:pPr>
              <w:widowControl w:val="0"/>
              <w:overflowPunct w:val="0"/>
              <w:adjustRightInd w:val="0"/>
              <w:snapToGrid w:val="0"/>
              <w:spacing w:after="0" w:line="240" w:lineRule="auto"/>
              <w:rPr>
                <w:rFonts w:ascii="Times New Roman" w:hAnsi="Times New Roman" w:cs="Times New Roman"/>
                <w:sz w:val="18"/>
                <w:szCs w:val="22"/>
                <w:lang w:val="en-US"/>
              </w:rPr>
            </w:pPr>
            <w:r w:rsidRPr="0030787F">
              <w:rPr>
                <w:rFonts w:ascii="Times New Roman" w:hAnsi="Times New Roman" w:cs="Times New Roman"/>
                <w:sz w:val="18"/>
                <w:szCs w:val="22"/>
                <w:lang w:val="en-US"/>
              </w:rPr>
              <w:t xml:space="preserve">Gini coefficient </w:t>
            </w:r>
          </w:p>
        </w:tc>
        <w:tc>
          <w:tcPr>
            <w:tcW w:w="0" w:type="auto"/>
            <w:vAlign w:val="center"/>
          </w:tcPr>
          <w:p w14:paraId="2ED1158C" w14:textId="77777777" w:rsidR="00BF0F78" w:rsidRPr="0030787F" w:rsidRDefault="00000000">
            <w:pPr>
              <w:widowControl w:val="0"/>
              <w:overflowPunct w:val="0"/>
              <w:adjustRightInd w:val="0"/>
              <w:snapToGrid w:val="0"/>
              <w:spacing w:after="0" w:line="240" w:lineRule="auto"/>
              <w:rPr>
                <w:rFonts w:ascii="Times New Roman" w:hAnsi="Times New Roman" w:cs="Times New Roman"/>
                <w:sz w:val="18"/>
                <w:szCs w:val="22"/>
                <w:lang w:val="en-US"/>
              </w:rPr>
            </w:pPr>
            <w:r w:rsidRPr="0030787F">
              <w:rPr>
                <w:rFonts w:ascii="Times New Roman" w:hAnsi="Times New Roman" w:cs="Times New Roman"/>
                <w:sz w:val="18"/>
                <w:szCs w:val="22"/>
                <w:lang w:val="en-US"/>
              </w:rPr>
              <w:t>WDI (2023)</w:t>
            </w:r>
          </w:p>
        </w:tc>
        <w:tc>
          <w:tcPr>
            <w:tcW w:w="0" w:type="auto"/>
            <w:vAlign w:val="center"/>
          </w:tcPr>
          <w:p w14:paraId="26346B6F" w14:textId="77777777" w:rsidR="00BF0F78" w:rsidRPr="0030787F" w:rsidRDefault="00000000">
            <w:pPr>
              <w:widowControl w:val="0"/>
              <w:overflowPunct w:val="0"/>
              <w:adjustRightInd w:val="0"/>
              <w:snapToGrid w:val="0"/>
              <w:spacing w:after="0" w:line="240" w:lineRule="auto"/>
              <w:rPr>
                <w:rFonts w:ascii="Times New Roman" w:hAnsi="Times New Roman" w:cs="Times New Roman"/>
                <w:iCs/>
                <w:sz w:val="18"/>
                <w:szCs w:val="22"/>
                <w:lang w:val="en-US"/>
              </w:rPr>
            </w:pPr>
            <m:oMathPara>
              <m:oMathParaPr>
                <m:jc m:val="left"/>
              </m:oMathParaPr>
              <m:oMath>
                <m:r>
                  <m:rPr>
                    <m:sty m:val="p"/>
                  </m:rPr>
                  <w:rPr>
                    <w:rFonts w:ascii="Cambria Math" w:hAnsi="Cambria Math" w:cs="Times New Roman"/>
                    <w:sz w:val="18"/>
                    <w:szCs w:val="22"/>
                    <w:lang w:val="en-US"/>
                  </w:rPr>
                  <m:t>INQ</m:t>
                </m:r>
              </m:oMath>
            </m:oMathPara>
          </w:p>
        </w:tc>
      </w:tr>
      <w:tr w:rsidR="009966AD" w:rsidRPr="0030787F" w14:paraId="72782190" w14:textId="77777777">
        <w:tc>
          <w:tcPr>
            <w:tcW w:w="0" w:type="auto"/>
            <w:vAlign w:val="center"/>
          </w:tcPr>
          <w:p w14:paraId="5BC87265" w14:textId="77777777" w:rsidR="00BF0F78" w:rsidRPr="0030787F" w:rsidRDefault="00000000">
            <w:pPr>
              <w:widowControl w:val="0"/>
              <w:overflowPunct w:val="0"/>
              <w:adjustRightInd w:val="0"/>
              <w:snapToGrid w:val="0"/>
              <w:spacing w:after="0" w:line="240" w:lineRule="auto"/>
              <w:rPr>
                <w:rFonts w:ascii="Times New Roman" w:hAnsi="Times New Roman" w:cs="Times New Roman"/>
                <w:sz w:val="18"/>
                <w:szCs w:val="22"/>
                <w:lang w:val="en-US"/>
              </w:rPr>
            </w:pPr>
            <w:r w:rsidRPr="0030787F">
              <w:rPr>
                <w:rFonts w:ascii="Times New Roman" w:hAnsi="Times New Roman" w:cs="Times New Roman"/>
                <w:sz w:val="18"/>
                <w:szCs w:val="22"/>
                <w:lang w:val="en-US"/>
              </w:rPr>
              <w:t>Economic growth</w:t>
            </w:r>
          </w:p>
        </w:tc>
        <w:tc>
          <w:tcPr>
            <w:tcW w:w="0" w:type="auto"/>
            <w:vAlign w:val="center"/>
          </w:tcPr>
          <w:p w14:paraId="33D97451" w14:textId="77777777" w:rsidR="00BF0F78" w:rsidRPr="0030787F" w:rsidRDefault="00000000">
            <w:pPr>
              <w:widowControl w:val="0"/>
              <w:overflowPunct w:val="0"/>
              <w:adjustRightInd w:val="0"/>
              <w:snapToGrid w:val="0"/>
              <w:spacing w:after="0" w:line="240" w:lineRule="auto"/>
              <w:rPr>
                <w:rFonts w:ascii="Times New Roman" w:hAnsi="Times New Roman" w:cs="Times New Roman"/>
                <w:sz w:val="18"/>
                <w:szCs w:val="22"/>
                <w:lang w:val="en-US"/>
              </w:rPr>
            </w:pPr>
            <w:r w:rsidRPr="0030787F">
              <w:rPr>
                <w:rFonts w:ascii="Times New Roman" w:hAnsi="Times New Roman" w:cs="Times New Roman"/>
                <w:sz w:val="18"/>
                <w:szCs w:val="22"/>
                <w:lang w:val="en-US"/>
              </w:rPr>
              <w:t>GDP per capita growth rate</w:t>
            </w:r>
          </w:p>
        </w:tc>
        <w:tc>
          <w:tcPr>
            <w:tcW w:w="0" w:type="auto"/>
            <w:vAlign w:val="center"/>
          </w:tcPr>
          <w:p w14:paraId="38502948" w14:textId="77777777" w:rsidR="00BF0F78" w:rsidRPr="0030787F" w:rsidRDefault="00000000">
            <w:pPr>
              <w:widowControl w:val="0"/>
              <w:overflowPunct w:val="0"/>
              <w:adjustRightInd w:val="0"/>
              <w:snapToGrid w:val="0"/>
              <w:spacing w:after="0" w:line="240" w:lineRule="auto"/>
              <w:rPr>
                <w:rFonts w:ascii="Times New Roman" w:hAnsi="Times New Roman" w:cs="Times New Roman"/>
                <w:sz w:val="18"/>
                <w:szCs w:val="22"/>
                <w:lang w:val="en-US"/>
              </w:rPr>
            </w:pPr>
            <w:r w:rsidRPr="0030787F">
              <w:rPr>
                <w:rFonts w:ascii="Times New Roman" w:hAnsi="Times New Roman" w:cs="Times New Roman"/>
                <w:sz w:val="18"/>
                <w:szCs w:val="22"/>
                <w:lang w:val="en-US"/>
              </w:rPr>
              <w:t>WDI (2023)</w:t>
            </w:r>
          </w:p>
        </w:tc>
        <w:tc>
          <w:tcPr>
            <w:tcW w:w="0" w:type="auto"/>
            <w:vAlign w:val="center"/>
          </w:tcPr>
          <w:p w14:paraId="764C9189" w14:textId="77777777" w:rsidR="00BF0F78" w:rsidRPr="0030787F" w:rsidRDefault="00000000">
            <w:pPr>
              <w:widowControl w:val="0"/>
              <w:overflowPunct w:val="0"/>
              <w:adjustRightInd w:val="0"/>
              <w:snapToGrid w:val="0"/>
              <w:spacing w:after="0" w:line="240" w:lineRule="auto"/>
              <w:rPr>
                <w:rFonts w:ascii="Times New Roman" w:hAnsi="Times New Roman" w:cs="Times New Roman"/>
                <w:iCs/>
                <w:sz w:val="18"/>
                <w:szCs w:val="22"/>
                <w:lang w:val="en-US"/>
              </w:rPr>
            </w:pPr>
            <m:oMathPara>
              <m:oMathParaPr>
                <m:jc m:val="left"/>
              </m:oMathParaPr>
              <m:oMath>
                <m:r>
                  <m:rPr>
                    <m:sty m:val="p"/>
                  </m:rPr>
                  <w:rPr>
                    <w:rFonts w:ascii="Cambria Math" w:hAnsi="Cambria Math" w:cs="Times New Roman"/>
                    <w:sz w:val="18"/>
                    <w:szCs w:val="22"/>
                    <w:lang w:val="en-US"/>
                  </w:rPr>
                  <m:t>GDP</m:t>
                </m:r>
              </m:oMath>
            </m:oMathPara>
          </w:p>
        </w:tc>
      </w:tr>
      <w:tr w:rsidR="009966AD" w:rsidRPr="0030787F" w14:paraId="1BA07B09" w14:textId="77777777">
        <w:tc>
          <w:tcPr>
            <w:tcW w:w="0" w:type="auto"/>
            <w:vAlign w:val="center"/>
          </w:tcPr>
          <w:p w14:paraId="05AC87A1" w14:textId="77777777" w:rsidR="00BF0F78" w:rsidRPr="0030787F" w:rsidRDefault="00000000">
            <w:pPr>
              <w:widowControl w:val="0"/>
              <w:overflowPunct w:val="0"/>
              <w:adjustRightInd w:val="0"/>
              <w:snapToGrid w:val="0"/>
              <w:spacing w:after="0" w:line="240" w:lineRule="auto"/>
              <w:rPr>
                <w:rFonts w:ascii="Times New Roman" w:hAnsi="Times New Roman" w:cs="Times New Roman"/>
                <w:sz w:val="18"/>
                <w:szCs w:val="22"/>
                <w:lang w:val="en-US"/>
              </w:rPr>
            </w:pPr>
            <w:r w:rsidRPr="0030787F">
              <w:rPr>
                <w:rFonts w:ascii="Times New Roman" w:hAnsi="Times New Roman" w:cs="Times New Roman"/>
                <w:sz w:val="18"/>
                <w:szCs w:val="22"/>
                <w:lang w:val="en-US"/>
              </w:rPr>
              <w:t>External debt</w:t>
            </w:r>
          </w:p>
        </w:tc>
        <w:tc>
          <w:tcPr>
            <w:tcW w:w="0" w:type="auto"/>
            <w:vAlign w:val="center"/>
          </w:tcPr>
          <w:p w14:paraId="46DBD7C5" w14:textId="77777777" w:rsidR="00BF0F78" w:rsidRPr="0030787F" w:rsidRDefault="00000000">
            <w:pPr>
              <w:widowControl w:val="0"/>
              <w:overflowPunct w:val="0"/>
              <w:adjustRightInd w:val="0"/>
              <w:snapToGrid w:val="0"/>
              <w:spacing w:after="0" w:line="240" w:lineRule="auto"/>
              <w:rPr>
                <w:rFonts w:ascii="Times New Roman" w:hAnsi="Times New Roman" w:cs="Times New Roman"/>
                <w:sz w:val="18"/>
                <w:szCs w:val="22"/>
                <w:lang w:val="en-US"/>
              </w:rPr>
            </w:pPr>
            <w:r w:rsidRPr="0030787F">
              <w:rPr>
                <w:rFonts w:ascii="Times New Roman" w:hAnsi="Times New Roman" w:cs="Times New Roman"/>
                <w:sz w:val="18"/>
                <w:szCs w:val="22"/>
                <w:lang w:val="en-US"/>
              </w:rPr>
              <w:t>Total external debt in US$ million</w:t>
            </w:r>
          </w:p>
        </w:tc>
        <w:tc>
          <w:tcPr>
            <w:tcW w:w="0" w:type="auto"/>
            <w:vAlign w:val="center"/>
          </w:tcPr>
          <w:p w14:paraId="7AF187D0" w14:textId="77777777" w:rsidR="00BF0F78" w:rsidRPr="0030787F" w:rsidRDefault="00000000">
            <w:pPr>
              <w:widowControl w:val="0"/>
              <w:overflowPunct w:val="0"/>
              <w:adjustRightInd w:val="0"/>
              <w:snapToGrid w:val="0"/>
              <w:spacing w:after="0" w:line="240" w:lineRule="auto"/>
              <w:rPr>
                <w:rFonts w:ascii="Times New Roman" w:hAnsi="Times New Roman" w:cs="Times New Roman"/>
                <w:sz w:val="18"/>
                <w:szCs w:val="22"/>
                <w:lang w:val="en-US"/>
              </w:rPr>
            </w:pPr>
            <w:r w:rsidRPr="0030787F">
              <w:rPr>
                <w:rFonts w:ascii="Times New Roman" w:hAnsi="Times New Roman" w:cs="Times New Roman"/>
                <w:sz w:val="18"/>
                <w:szCs w:val="22"/>
                <w:lang w:val="en-US"/>
              </w:rPr>
              <w:t>WDI (2023)</w:t>
            </w:r>
          </w:p>
        </w:tc>
        <w:tc>
          <w:tcPr>
            <w:tcW w:w="0" w:type="auto"/>
            <w:vAlign w:val="center"/>
          </w:tcPr>
          <w:p w14:paraId="1EF4424E" w14:textId="77777777" w:rsidR="00BF0F78" w:rsidRPr="0030787F" w:rsidRDefault="00000000">
            <w:pPr>
              <w:widowControl w:val="0"/>
              <w:overflowPunct w:val="0"/>
              <w:adjustRightInd w:val="0"/>
              <w:snapToGrid w:val="0"/>
              <w:spacing w:after="0" w:line="240" w:lineRule="auto"/>
              <w:rPr>
                <w:rFonts w:ascii="Times New Roman" w:hAnsi="Times New Roman" w:cs="Times New Roman"/>
                <w:iCs/>
                <w:sz w:val="18"/>
                <w:szCs w:val="22"/>
                <w:lang w:val="en-US"/>
              </w:rPr>
            </w:pPr>
            <m:oMathPara>
              <m:oMathParaPr>
                <m:jc m:val="left"/>
              </m:oMathParaPr>
              <m:oMath>
                <m:r>
                  <m:rPr>
                    <m:sty m:val="p"/>
                  </m:rPr>
                  <w:rPr>
                    <w:rFonts w:ascii="Cambria Math" w:hAnsi="Cambria Math" w:cs="Times New Roman"/>
                    <w:sz w:val="18"/>
                    <w:szCs w:val="22"/>
                    <w:lang w:val="en-US"/>
                  </w:rPr>
                  <m:t>EDGDP</m:t>
                </m:r>
              </m:oMath>
            </m:oMathPara>
          </w:p>
        </w:tc>
      </w:tr>
      <w:tr w:rsidR="009966AD" w:rsidRPr="0030787F" w14:paraId="032AC5D8" w14:textId="77777777">
        <w:tc>
          <w:tcPr>
            <w:tcW w:w="0" w:type="auto"/>
            <w:vAlign w:val="center"/>
          </w:tcPr>
          <w:p w14:paraId="769CD3CB" w14:textId="77777777" w:rsidR="00BF0F78" w:rsidRPr="0030787F" w:rsidRDefault="00000000">
            <w:pPr>
              <w:widowControl w:val="0"/>
              <w:overflowPunct w:val="0"/>
              <w:adjustRightInd w:val="0"/>
              <w:snapToGrid w:val="0"/>
              <w:spacing w:after="0" w:line="240" w:lineRule="auto"/>
              <w:rPr>
                <w:rFonts w:ascii="Times New Roman" w:hAnsi="Times New Roman" w:cs="Times New Roman"/>
                <w:sz w:val="18"/>
                <w:szCs w:val="22"/>
                <w:lang w:val="en-US"/>
              </w:rPr>
            </w:pPr>
            <w:r w:rsidRPr="0030787F">
              <w:rPr>
                <w:rFonts w:ascii="Times New Roman" w:hAnsi="Times New Roman" w:cs="Times New Roman"/>
                <w:sz w:val="18"/>
                <w:szCs w:val="22"/>
                <w:lang w:val="en-US"/>
              </w:rPr>
              <w:t>Institutional control</w:t>
            </w:r>
          </w:p>
        </w:tc>
        <w:tc>
          <w:tcPr>
            <w:tcW w:w="0" w:type="auto"/>
            <w:vAlign w:val="center"/>
          </w:tcPr>
          <w:p w14:paraId="7976168B" w14:textId="77777777" w:rsidR="00BF0F78" w:rsidRPr="0030787F" w:rsidRDefault="00000000">
            <w:pPr>
              <w:widowControl w:val="0"/>
              <w:overflowPunct w:val="0"/>
              <w:adjustRightInd w:val="0"/>
              <w:snapToGrid w:val="0"/>
              <w:spacing w:after="0" w:line="240" w:lineRule="auto"/>
              <w:rPr>
                <w:rFonts w:ascii="Times New Roman" w:hAnsi="Times New Roman" w:cs="Times New Roman"/>
                <w:sz w:val="18"/>
                <w:szCs w:val="22"/>
                <w:lang w:val="en-US"/>
              </w:rPr>
            </w:pPr>
            <w:r w:rsidRPr="0030787F">
              <w:rPr>
                <w:rFonts w:ascii="Times New Roman" w:hAnsi="Times New Roman" w:cs="Times New Roman"/>
                <w:sz w:val="18"/>
                <w:szCs w:val="22"/>
                <w:lang w:val="en-US"/>
              </w:rPr>
              <w:t xml:space="preserve">Government effectiveness </w:t>
            </w:r>
          </w:p>
        </w:tc>
        <w:tc>
          <w:tcPr>
            <w:tcW w:w="0" w:type="auto"/>
            <w:vAlign w:val="center"/>
          </w:tcPr>
          <w:p w14:paraId="424BBFD1" w14:textId="77777777" w:rsidR="00BF0F78" w:rsidRPr="0030787F" w:rsidRDefault="00000000">
            <w:pPr>
              <w:widowControl w:val="0"/>
              <w:overflowPunct w:val="0"/>
              <w:adjustRightInd w:val="0"/>
              <w:snapToGrid w:val="0"/>
              <w:spacing w:after="0" w:line="240" w:lineRule="auto"/>
              <w:rPr>
                <w:rFonts w:ascii="Times New Roman" w:hAnsi="Times New Roman" w:cs="Times New Roman"/>
                <w:sz w:val="18"/>
                <w:szCs w:val="22"/>
                <w:lang w:val="en-US"/>
              </w:rPr>
            </w:pPr>
            <w:r w:rsidRPr="0030787F">
              <w:rPr>
                <w:rFonts w:ascii="Times New Roman" w:hAnsi="Times New Roman" w:cs="Times New Roman"/>
                <w:sz w:val="18"/>
                <w:szCs w:val="22"/>
                <w:lang w:val="en-US"/>
              </w:rPr>
              <w:t>WGI (2023)</w:t>
            </w:r>
          </w:p>
        </w:tc>
        <w:tc>
          <w:tcPr>
            <w:tcW w:w="0" w:type="auto"/>
            <w:vAlign w:val="center"/>
          </w:tcPr>
          <w:p w14:paraId="6F0A8F5D" w14:textId="77777777" w:rsidR="00BF0F78" w:rsidRPr="0030787F" w:rsidRDefault="00000000">
            <w:pPr>
              <w:widowControl w:val="0"/>
              <w:overflowPunct w:val="0"/>
              <w:adjustRightInd w:val="0"/>
              <w:snapToGrid w:val="0"/>
              <w:spacing w:after="0" w:line="240" w:lineRule="auto"/>
              <w:rPr>
                <w:rFonts w:ascii="Times New Roman" w:hAnsi="Times New Roman" w:cs="Times New Roman"/>
                <w:iCs/>
                <w:sz w:val="18"/>
                <w:szCs w:val="22"/>
                <w:lang w:val="en-US"/>
              </w:rPr>
            </w:pPr>
            <m:oMathPara>
              <m:oMathParaPr>
                <m:jc m:val="left"/>
              </m:oMathParaPr>
              <m:oMath>
                <m:r>
                  <m:rPr>
                    <m:sty m:val="p"/>
                  </m:rPr>
                  <w:rPr>
                    <w:rFonts w:ascii="Cambria Math" w:hAnsi="Cambria Math" w:cs="Times New Roman"/>
                    <w:sz w:val="18"/>
                    <w:szCs w:val="22"/>
                    <w:lang w:val="en-US"/>
                  </w:rPr>
                  <m:t>GOVEF</m:t>
                </m:r>
              </m:oMath>
            </m:oMathPara>
          </w:p>
        </w:tc>
      </w:tr>
    </w:tbl>
    <w:p w14:paraId="7819C12C" w14:textId="77777777" w:rsidR="00BF0F78" w:rsidRPr="009B1BB3" w:rsidRDefault="00000000">
      <w:pPr>
        <w:widowControl w:val="0"/>
        <w:overflowPunct w:val="0"/>
        <w:adjustRightInd w:val="0"/>
        <w:snapToGrid w:val="0"/>
        <w:spacing w:after="240" w:line="240" w:lineRule="auto"/>
        <w:ind w:left="2948"/>
        <w:rPr>
          <w:sz w:val="18"/>
        </w:rPr>
      </w:pPr>
      <w:r w:rsidRPr="009B1BB3">
        <w:rPr>
          <w:sz w:val="18"/>
        </w:rPr>
        <w:t>Source: authors’ computation.</w:t>
      </w:r>
    </w:p>
    <w:p w14:paraId="0BAF79B7" w14:textId="4555FC43" w:rsidR="00BF0F78" w:rsidRPr="009B1BB3" w:rsidRDefault="00086A24" w:rsidP="00086A24">
      <w:pPr>
        <w:widowControl w:val="0"/>
        <w:overflowPunct w:val="0"/>
        <w:autoSpaceDE w:val="0"/>
        <w:autoSpaceDN w:val="0"/>
        <w:adjustRightInd w:val="0"/>
        <w:snapToGrid w:val="0"/>
        <w:spacing w:after="0" w:line="288" w:lineRule="auto"/>
        <w:ind w:left="2948" w:firstLine="442"/>
        <w:jc w:val="both"/>
        <w:rPr>
          <w:rFonts w:eastAsia="宋体" w:hint="eastAsia"/>
          <w:szCs w:val="22"/>
          <w:lang w:eastAsia="zh-CN"/>
        </w:rPr>
      </w:pPr>
      <w:r w:rsidRPr="00086A24">
        <w:rPr>
          <w:rFonts w:eastAsia="宋体"/>
          <w:szCs w:val="22"/>
        </w:rPr>
        <w:t xml:space="preserve">Furthermore, the Nigerian government often anchors the need for foreign borrowing on poverty and income inequality reduction </w:t>
      </w:r>
      <w:proofErr w:type="spellStart"/>
      <w:r w:rsidRPr="00086A24">
        <w:rPr>
          <w:rFonts w:eastAsia="宋体"/>
          <w:szCs w:val="22"/>
        </w:rPr>
        <w:t>programmes</w:t>
      </w:r>
      <w:proofErr w:type="spellEnd"/>
      <w:r w:rsidRPr="00086A24">
        <w:rPr>
          <w:rFonts w:eastAsia="宋体"/>
          <w:szCs w:val="22"/>
        </w:rPr>
        <w:t>, hence, external debt constitutes a crucial economic variable [57]. The persistent demand for imported goods in the economy has had the government relying on foreign borrowing for finance [58]. For instance, as a means of bridging the poverty and income inequality gap, the Federal Government had been solely responsible for the payment of subsidies on imported petroleum products, electricity, and fertilizers for over two decades. Also, institutional control and its significance in reducing the level of poverty and inequality cannot be overemphasized. A weak institution is believed to promote the growth of inequality and widen the poverty gap in any society, especially when the government’s policies at combating both ills are ineffective.</w:t>
      </w:r>
    </w:p>
    <w:p w14:paraId="6B725CBE" w14:textId="77777777" w:rsidR="00BF0F78" w:rsidRPr="009B1BB3" w:rsidRDefault="00000000">
      <w:pPr>
        <w:widowControl w:val="0"/>
        <w:overflowPunct w:val="0"/>
        <w:adjustRightInd w:val="0"/>
        <w:snapToGrid w:val="0"/>
        <w:spacing w:before="240" w:after="60" w:line="288" w:lineRule="auto"/>
        <w:ind w:left="2948"/>
        <w:rPr>
          <w:b/>
          <w:sz w:val="24"/>
        </w:rPr>
      </w:pPr>
      <w:r w:rsidRPr="009B1BB3">
        <w:rPr>
          <w:b/>
          <w:sz w:val="24"/>
        </w:rPr>
        <w:t>3.2. Methodology</w:t>
      </w:r>
    </w:p>
    <w:p w14:paraId="1D5CDB90" w14:textId="77777777" w:rsidR="00BF0F78" w:rsidRPr="009B1BB3" w:rsidRDefault="00000000">
      <w:pPr>
        <w:widowControl w:val="0"/>
        <w:overflowPunct w:val="0"/>
        <w:autoSpaceDE w:val="0"/>
        <w:autoSpaceDN w:val="0"/>
        <w:adjustRightInd w:val="0"/>
        <w:snapToGrid w:val="0"/>
        <w:spacing w:after="0" w:line="288" w:lineRule="auto"/>
        <w:ind w:left="2948" w:firstLine="442"/>
        <w:jc w:val="both"/>
        <w:rPr>
          <w:rFonts w:eastAsia="宋体"/>
          <w:szCs w:val="22"/>
        </w:rPr>
      </w:pPr>
      <w:r w:rsidRPr="009B1BB3">
        <w:rPr>
          <w:rFonts w:eastAsia="宋体"/>
          <w:szCs w:val="22"/>
        </w:rPr>
        <w:t>In order to specifically fulfill the objective of this research, the responses of poverty and income inequality to economic growth, foreign debt, and institutional quality are disengaged into two equations:</w:t>
      </w:r>
    </w:p>
    <w:tbl>
      <w:tblPr>
        <w:tblStyle w:val="af5"/>
        <w:tblW w:w="7519" w:type="dxa"/>
        <w:tblInd w:w="2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41"/>
        <w:gridCol w:w="278"/>
      </w:tblGrid>
      <w:tr w:rsidR="009966AD" w:rsidRPr="009B1BB3" w14:paraId="29C0A0A5" w14:textId="77777777" w:rsidTr="00F43C60">
        <w:trPr>
          <w:cantSplit/>
        </w:trPr>
        <w:tc>
          <w:tcPr>
            <w:tcW w:w="7256" w:type="dxa"/>
            <w:noWrap/>
            <w:tcMar>
              <w:left w:w="0" w:type="dxa"/>
              <w:right w:w="0" w:type="dxa"/>
            </w:tcMar>
            <w:vAlign w:val="center"/>
          </w:tcPr>
          <w:p w14:paraId="1DDEA7F1" w14:textId="77777777" w:rsidR="00BF0F78" w:rsidRPr="009B1BB3" w:rsidRDefault="00000000">
            <w:pPr>
              <w:overflowPunct w:val="0"/>
              <w:adjustRightInd w:val="0"/>
              <w:snapToGrid w:val="0"/>
              <w:spacing w:before="120" w:after="120" w:line="288" w:lineRule="auto"/>
              <w:jc w:val="center"/>
              <w:rPr>
                <w:rFonts w:eastAsia="宋体"/>
                <w:bCs/>
                <w:kern w:val="2"/>
                <w:lang w:eastAsia="zh-CN"/>
              </w:rPr>
            </w:pPr>
            <m:oMathPara>
              <m:oMathParaPr>
                <m:jc m:val="center"/>
              </m:oMathParaPr>
              <m:oMath>
                <m:sSub>
                  <m:sSubPr>
                    <m:ctrlPr>
                      <w:rPr>
                        <w:rFonts w:ascii="Cambria Math" w:eastAsia="宋体" w:hAnsi="Cambria Math"/>
                        <w:i/>
                        <w:szCs w:val="22"/>
                      </w:rPr>
                    </m:ctrlPr>
                  </m:sSubPr>
                  <m:e>
                    <m:r>
                      <w:rPr>
                        <w:rFonts w:ascii="Cambria Math" w:eastAsia="宋体" w:hAnsi="Cambria Math"/>
                        <w:szCs w:val="22"/>
                      </w:rPr>
                      <m:t>PGI</m:t>
                    </m:r>
                  </m:e>
                  <m:sub>
                    <m:r>
                      <w:rPr>
                        <w:rFonts w:ascii="Cambria Math" w:eastAsia="宋体" w:hAnsi="Cambria Math"/>
                        <w:szCs w:val="22"/>
                      </w:rPr>
                      <m:t>t</m:t>
                    </m:r>
                  </m:sub>
                </m:sSub>
                <m:r>
                  <w:rPr>
                    <w:rFonts w:ascii="Cambria Math" w:eastAsia="宋体" w:hAnsi="Cambria Math"/>
                    <w:szCs w:val="22"/>
                  </w:rPr>
                  <m:t>=</m:t>
                </m:r>
                <m:sSub>
                  <m:sSubPr>
                    <m:ctrlPr>
                      <w:rPr>
                        <w:rFonts w:ascii="Cambria Math" w:eastAsia="宋体" w:hAnsi="Cambria Math"/>
                        <w:i/>
                        <w:szCs w:val="22"/>
                      </w:rPr>
                    </m:ctrlPr>
                  </m:sSubPr>
                  <m:e>
                    <m:r>
                      <w:rPr>
                        <w:rFonts w:ascii="Cambria Math" w:eastAsia="宋体" w:hAnsi="Cambria Math"/>
                        <w:szCs w:val="22"/>
                      </w:rPr>
                      <m:t>α</m:t>
                    </m:r>
                  </m:e>
                  <m:sub>
                    <m:r>
                      <w:rPr>
                        <w:rFonts w:ascii="Cambria Math" w:eastAsia="宋体" w:hAnsi="Cambria Math"/>
                        <w:szCs w:val="22"/>
                      </w:rPr>
                      <m:t>0</m:t>
                    </m:r>
                  </m:sub>
                </m:sSub>
                <m:r>
                  <w:rPr>
                    <w:rFonts w:ascii="Cambria Math" w:eastAsia="宋体" w:hAnsi="Cambria Math"/>
                    <w:szCs w:val="22"/>
                  </w:rPr>
                  <m:t>+</m:t>
                </m:r>
                <m:sSub>
                  <m:sSubPr>
                    <m:ctrlPr>
                      <w:rPr>
                        <w:rFonts w:ascii="Cambria Math" w:eastAsia="宋体" w:hAnsi="Cambria Math"/>
                        <w:i/>
                        <w:szCs w:val="22"/>
                      </w:rPr>
                    </m:ctrlPr>
                  </m:sSubPr>
                  <m:e>
                    <m:r>
                      <w:rPr>
                        <w:rFonts w:ascii="Cambria Math" w:eastAsia="宋体" w:hAnsi="Cambria Math"/>
                        <w:szCs w:val="22"/>
                      </w:rPr>
                      <m:t>α</m:t>
                    </m:r>
                  </m:e>
                  <m:sub>
                    <m:r>
                      <w:rPr>
                        <w:rFonts w:ascii="Cambria Math" w:eastAsia="宋体" w:hAnsi="Cambria Math"/>
                        <w:szCs w:val="22"/>
                      </w:rPr>
                      <m:t>1</m:t>
                    </m:r>
                  </m:sub>
                </m:sSub>
                <m:sSub>
                  <m:sSubPr>
                    <m:ctrlPr>
                      <w:rPr>
                        <w:rFonts w:ascii="Cambria Math" w:eastAsia="宋体" w:hAnsi="Cambria Math"/>
                        <w:i/>
                        <w:szCs w:val="22"/>
                      </w:rPr>
                    </m:ctrlPr>
                  </m:sSubPr>
                  <m:e>
                    <m:r>
                      <w:rPr>
                        <w:rFonts w:ascii="Cambria Math" w:eastAsia="宋体" w:hAnsi="Cambria Math"/>
                        <w:szCs w:val="22"/>
                      </w:rPr>
                      <m:t>GDP</m:t>
                    </m:r>
                  </m:e>
                  <m:sub>
                    <m:r>
                      <w:rPr>
                        <w:rFonts w:ascii="Cambria Math" w:eastAsia="宋体" w:hAnsi="Cambria Math"/>
                        <w:szCs w:val="22"/>
                      </w:rPr>
                      <m:t>t</m:t>
                    </m:r>
                  </m:sub>
                </m:sSub>
                <m:r>
                  <w:rPr>
                    <w:rFonts w:ascii="Cambria Math" w:eastAsia="宋体" w:hAnsi="Cambria Math"/>
                    <w:szCs w:val="22"/>
                  </w:rPr>
                  <m:t>+</m:t>
                </m:r>
                <m:sSub>
                  <m:sSubPr>
                    <m:ctrlPr>
                      <w:rPr>
                        <w:rFonts w:ascii="Cambria Math" w:eastAsia="宋体" w:hAnsi="Cambria Math"/>
                        <w:i/>
                        <w:szCs w:val="22"/>
                      </w:rPr>
                    </m:ctrlPr>
                  </m:sSubPr>
                  <m:e>
                    <m:r>
                      <w:rPr>
                        <w:rFonts w:ascii="Cambria Math" w:eastAsia="宋体" w:hAnsi="Cambria Math"/>
                        <w:szCs w:val="22"/>
                      </w:rPr>
                      <m:t>α</m:t>
                    </m:r>
                  </m:e>
                  <m:sub>
                    <m:r>
                      <w:rPr>
                        <w:rFonts w:ascii="Cambria Math" w:eastAsia="宋体" w:hAnsi="Cambria Math"/>
                        <w:szCs w:val="22"/>
                      </w:rPr>
                      <m:t>2</m:t>
                    </m:r>
                  </m:sub>
                </m:sSub>
                <m:sSub>
                  <m:sSubPr>
                    <m:ctrlPr>
                      <w:rPr>
                        <w:rFonts w:ascii="Cambria Math" w:eastAsia="宋体" w:hAnsi="Cambria Math"/>
                        <w:i/>
                        <w:szCs w:val="22"/>
                      </w:rPr>
                    </m:ctrlPr>
                  </m:sSubPr>
                  <m:e>
                    <m:r>
                      <w:rPr>
                        <w:rFonts w:ascii="Cambria Math" w:eastAsia="宋体" w:hAnsi="Cambria Math"/>
                        <w:szCs w:val="22"/>
                      </w:rPr>
                      <m:t>EDGDP</m:t>
                    </m:r>
                  </m:e>
                  <m:sub>
                    <m:r>
                      <w:rPr>
                        <w:rFonts w:ascii="Cambria Math" w:eastAsia="宋体" w:hAnsi="Cambria Math"/>
                        <w:szCs w:val="22"/>
                      </w:rPr>
                      <m:t>t</m:t>
                    </m:r>
                  </m:sub>
                </m:sSub>
                <m:r>
                  <w:rPr>
                    <w:rFonts w:ascii="Cambria Math" w:eastAsia="宋体" w:hAnsi="Cambria Math"/>
                    <w:szCs w:val="22"/>
                  </w:rPr>
                  <m:t>+</m:t>
                </m:r>
                <m:sSub>
                  <m:sSubPr>
                    <m:ctrlPr>
                      <w:rPr>
                        <w:rFonts w:ascii="Cambria Math" w:eastAsia="宋体" w:hAnsi="Cambria Math"/>
                        <w:i/>
                        <w:szCs w:val="22"/>
                      </w:rPr>
                    </m:ctrlPr>
                  </m:sSubPr>
                  <m:e>
                    <m:r>
                      <w:rPr>
                        <w:rFonts w:ascii="Cambria Math" w:eastAsia="宋体" w:hAnsi="Cambria Math"/>
                        <w:szCs w:val="22"/>
                      </w:rPr>
                      <m:t>α</m:t>
                    </m:r>
                  </m:e>
                  <m:sub>
                    <m:r>
                      <w:rPr>
                        <w:rFonts w:ascii="Cambria Math" w:eastAsia="宋体" w:hAnsi="Cambria Math"/>
                        <w:szCs w:val="22"/>
                      </w:rPr>
                      <m:t>3</m:t>
                    </m:r>
                  </m:sub>
                </m:sSub>
                <m:sSub>
                  <m:sSubPr>
                    <m:ctrlPr>
                      <w:rPr>
                        <w:rFonts w:ascii="Cambria Math" w:eastAsia="宋体" w:hAnsi="Cambria Math"/>
                        <w:i/>
                        <w:szCs w:val="22"/>
                      </w:rPr>
                    </m:ctrlPr>
                  </m:sSubPr>
                  <m:e>
                    <m:r>
                      <w:rPr>
                        <w:rFonts w:ascii="Cambria Math" w:eastAsia="宋体" w:hAnsi="Cambria Math"/>
                        <w:szCs w:val="22"/>
                      </w:rPr>
                      <m:t>GOVEF</m:t>
                    </m:r>
                  </m:e>
                  <m:sub>
                    <m:r>
                      <w:rPr>
                        <w:rFonts w:ascii="Cambria Math" w:eastAsia="宋体" w:hAnsi="Cambria Math"/>
                        <w:szCs w:val="22"/>
                      </w:rPr>
                      <m:t>t</m:t>
                    </m:r>
                  </m:sub>
                </m:sSub>
                <m:r>
                  <w:rPr>
                    <w:rFonts w:ascii="Cambria Math" w:eastAsia="宋体" w:hAnsi="Cambria Math"/>
                    <w:szCs w:val="22"/>
                  </w:rPr>
                  <m:t>+</m:t>
                </m:r>
                <m:sSub>
                  <m:sSubPr>
                    <m:ctrlPr>
                      <w:rPr>
                        <w:rFonts w:ascii="Cambria Math" w:eastAsia="宋体" w:hAnsi="Cambria Math"/>
                        <w:i/>
                        <w:szCs w:val="22"/>
                      </w:rPr>
                    </m:ctrlPr>
                  </m:sSubPr>
                  <m:e>
                    <m:r>
                      <w:rPr>
                        <w:rFonts w:ascii="Cambria Math" w:eastAsia="宋体" w:hAnsi="Cambria Math"/>
                        <w:szCs w:val="22"/>
                      </w:rPr>
                      <m:t>μ</m:t>
                    </m:r>
                  </m:e>
                  <m:sub>
                    <m:r>
                      <w:rPr>
                        <w:rFonts w:ascii="Cambria Math" w:eastAsia="宋体" w:hAnsi="Cambria Math"/>
                        <w:szCs w:val="22"/>
                      </w:rPr>
                      <m:t>t1</m:t>
                    </m:r>
                  </m:sub>
                </m:sSub>
              </m:oMath>
            </m:oMathPara>
          </w:p>
        </w:tc>
        <w:tc>
          <w:tcPr>
            <w:tcW w:w="263" w:type="dxa"/>
            <w:noWrap/>
            <w:tcMar>
              <w:left w:w="0" w:type="dxa"/>
              <w:right w:w="0" w:type="dxa"/>
            </w:tcMar>
            <w:vAlign w:val="center"/>
          </w:tcPr>
          <w:p w14:paraId="01DD8193" w14:textId="77777777" w:rsidR="00BF0F78" w:rsidRPr="009B1BB3" w:rsidRDefault="00000000">
            <w:pPr>
              <w:overflowPunct w:val="0"/>
              <w:adjustRightInd w:val="0"/>
              <w:snapToGrid w:val="0"/>
              <w:spacing w:before="120" w:after="120" w:line="288" w:lineRule="auto"/>
              <w:jc w:val="right"/>
              <w:rPr>
                <w:rFonts w:eastAsia="宋体"/>
                <w:bCs/>
                <w:kern w:val="2"/>
                <w:lang w:eastAsia="zh-CN"/>
              </w:rPr>
            </w:pPr>
            <w:r w:rsidRPr="009B1BB3">
              <w:rPr>
                <w:rFonts w:eastAsia="宋体"/>
                <w:bCs/>
                <w:kern w:val="2"/>
                <w:lang w:eastAsia="zh-CN"/>
              </w:rPr>
              <w:t>(1)</w:t>
            </w:r>
          </w:p>
        </w:tc>
      </w:tr>
      <w:tr w:rsidR="009966AD" w:rsidRPr="009B1BB3" w14:paraId="6F7DB6AF" w14:textId="77777777" w:rsidTr="00F43C60">
        <w:trPr>
          <w:cantSplit/>
        </w:trPr>
        <w:tc>
          <w:tcPr>
            <w:tcW w:w="7256" w:type="dxa"/>
            <w:noWrap/>
            <w:tcMar>
              <w:left w:w="0" w:type="dxa"/>
              <w:right w:w="0" w:type="dxa"/>
            </w:tcMar>
            <w:vAlign w:val="center"/>
          </w:tcPr>
          <w:p w14:paraId="3267FE0B" w14:textId="77777777" w:rsidR="00BF0F78" w:rsidRPr="009B1BB3" w:rsidRDefault="00000000">
            <w:pPr>
              <w:overflowPunct w:val="0"/>
              <w:adjustRightInd w:val="0"/>
              <w:snapToGrid w:val="0"/>
              <w:spacing w:before="120" w:after="120" w:line="288" w:lineRule="auto"/>
              <w:jc w:val="center"/>
              <w:rPr>
                <w:rFonts w:eastAsia="宋体"/>
                <w:szCs w:val="22"/>
              </w:rPr>
            </w:pPr>
            <m:oMathPara>
              <m:oMath>
                <m:sSub>
                  <m:sSubPr>
                    <m:ctrlPr>
                      <w:rPr>
                        <w:rFonts w:ascii="Cambria Math" w:eastAsia="宋体" w:hAnsi="Cambria Math"/>
                        <w:i/>
                        <w:szCs w:val="22"/>
                      </w:rPr>
                    </m:ctrlPr>
                  </m:sSubPr>
                  <m:e>
                    <m:r>
                      <w:rPr>
                        <w:rFonts w:ascii="Cambria Math" w:eastAsia="宋体" w:hAnsi="Cambria Math"/>
                        <w:szCs w:val="22"/>
                      </w:rPr>
                      <m:t>INQ</m:t>
                    </m:r>
                  </m:e>
                  <m:sub>
                    <m:r>
                      <w:rPr>
                        <w:rFonts w:ascii="Cambria Math" w:eastAsia="宋体" w:hAnsi="Cambria Math"/>
                        <w:szCs w:val="22"/>
                      </w:rPr>
                      <m:t>t</m:t>
                    </m:r>
                  </m:sub>
                </m:sSub>
                <m:r>
                  <w:rPr>
                    <w:rFonts w:ascii="Cambria Math" w:eastAsia="宋体" w:hAnsi="Cambria Math"/>
                    <w:szCs w:val="22"/>
                  </w:rPr>
                  <m:t>=</m:t>
                </m:r>
                <m:sSub>
                  <m:sSubPr>
                    <m:ctrlPr>
                      <w:rPr>
                        <w:rFonts w:ascii="Cambria Math" w:eastAsia="宋体" w:hAnsi="Cambria Math"/>
                        <w:i/>
                        <w:szCs w:val="22"/>
                      </w:rPr>
                    </m:ctrlPr>
                  </m:sSubPr>
                  <m:e>
                    <m:r>
                      <w:rPr>
                        <w:rFonts w:ascii="Cambria Math" w:eastAsia="宋体" w:hAnsi="Cambria Math"/>
                        <w:szCs w:val="22"/>
                      </w:rPr>
                      <m:t>β</m:t>
                    </m:r>
                  </m:e>
                  <m:sub>
                    <m:r>
                      <w:rPr>
                        <w:rFonts w:ascii="Cambria Math" w:eastAsia="宋体" w:hAnsi="Cambria Math"/>
                        <w:szCs w:val="22"/>
                      </w:rPr>
                      <m:t>0</m:t>
                    </m:r>
                  </m:sub>
                </m:sSub>
                <m:r>
                  <w:rPr>
                    <w:rFonts w:ascii="Cambria Math" w:eastAsia="宋体" w:hAnsi="Cambria Math"/>
                    <w:szCs w:val="22"/>
                  </w:rPr>
                  <m:t>+</m:t>
                </m:r>
                <m:sSub>
                  <m:sSubPr>
                    <m:ctrlPr>
                      <w:rPr>
                        <w:rFonts w:ascii="Cambria Math" w:eastAsia="宋体" w:hAnsi="Cambria Math"/>
                        <w:i/>
                        <w:szCs w:val="22"/>
                      </w:rPr>
                    </m:ctrlPr>
                  </m:sSubPr>
                  <m:e>
                    <m:r>
                      <w:rPr>
                        <w:rFonts w:ascii="Cambria Math" w:eastAsia="宋体" w:hAnsi="Cambria Math"/>
                        <w:szCs w:val="22"/>
                      </w:rPr>
                      <m:t>β</m:t>
                    </m:r>
                  </m:e>
                  <m:sub>
                    <m:r>
                      <w:rPr>
                        <w:rFonts w:ascii="Cambria Math" w:eastAsia="宋体" w:hAnsi="Cambria Math"/>
                        <w:szCs w:val="22"/>
                      </w:rPr>
                      <m:t>1</m:t>
                    </m:r>
                  </m:sub>
                </m:sSub>
                <m:sSub>
                  <m:sSubPr>
                    <m:ctrlPr>
                      <w:rPr>
                        <w:rFonts w:ascii="Cambria Math" w:eastAsia="宋体" w:hAnsi="Cambria Math"/>
                        <w:i/>
                        <w:szCs w:val="22"/>
                      </w:rPr>
                    </m:ctrlPr>
                  </m:sSubPr>
                  <m:e>
                    <m:r>
                      <w:rPr>
                        <w:rFonts w:ascii="Cambria Math" w:eastAsia="宋体" w:hAnsi="Cambria Math"/>
                        <w:szCs w:val="22"/>
                      </w:rPr>
                      <m:t>GDP</m:t>
                    </m:r>
                  </m:e>
                  <m:sub>
                    <m:r>
                      <w:rPr>
                        <w:rFonts w:ascii="Cambria Math" w:eastAsia="宋体" w:hAnsi="Cambria Math"/>
                        <w:szCs w:val="22"/>
                      </w:rPr>
                      <m:t>t</m:t>
                    </m:r>
                  </m:sub>
                </m:sSub>
                <m:r>
                  <w:rPr>
                    <w:rFonts w:ascii="Cambria Math" w:eastAsia="宋体" w:hAnsi="Cambria Math"/>
                    <w:szCs w:val="22"/>
                  </w:rPr>
                  <m:t>+</m:t>
                </m:r>
                <m:sSub>
                  <m:sSubPr>
                    <m:ctrlPr>
                      <w:rPr>
                        <w:rFonts w:ascii="Cambria Math" w:eastAsia="宋体" w:hAnsi="Cambria Math"/>
                        <w:i/>
                        <w:szCs w:val="22"/>
                      </w:rPr>
                    </m:ctrlPr>
                  </m:sSubPr>
                  <m:e>
                    <m:r>
                      <w:rPr>
                        <w:rFonts w:ascii="Cambria Math" w:eastAsia="宋体" w:hAnsi="Cambria Math"/>
                        <w:szCs w:val="22"/>
                      </w:rPr>
                      <m:t>β</m:t>
                    </m:r>
                  </m:e>
                  <m:sub>
                    <m:r>
                      <w:rPr>
                        <w:rFonts w:ascii="Cambria Math" w:eastAsia="宋体" w:hAnsi="Cambria Math"/>
                        <w:szCs w:val="22"/>
                      </w:rPr>
                      <m:t>2</m:t>
                    </m:r>
                  </m:sub>
                </m:sSub>
                <m:sSub>
                  <m:sSubPr>
                    <m:ctrlPr>
                      <w:rPr>
                        <w:rFonts w:ascii="Cambria Math" w:eastAsia="宋体" w:hAnsi="Cambria Math"/>
                        <w:i/>
                        <w:szCs w:val="22"/>
                      </w:rPr>
                    </m:ctrlPr>
                  </m:sSubPr>
                  <m:e>
                    <m:r>
                      <w:rPr>
                        <w:rFonts w:ascii="Cambria Math" w:eastAsia="宋体" w:hAnsi="Cambria Math"/>
                        <w:szCs w:val="22"/>
                      </w:rPr>
                      <m:t>EDGDP</m:t>
                    </m:r>
                  </m:e>
                  <m:sub>
                    <m:r>
                      <w:rPr>
                        <w:rFonts w:ascii="Cambria Math" w:eastAsia="宋体" w:hAnsi="Cambria Math"/>
                        <w:szCs w:val="22"/>
                      </w:rPr>
                      <m:t>t</m:t>
                    </m:r>
                  </m:sub>
                </m:sSub>
                <m:r>
                  <w:rPr>
                    <w:rFonts w:ascii="Cambria Math" w:eastAsia="宋体" w:hAnsi="Cambria Math"/>
                    <w:szCs w:val="22"/>
                  </w:rPr>
                  <m:t>+</m:t>
                </m:r>
                <m:sSub>
                  <m:sSubPr>
                    <m:ctrlPr>
                      <w:rPr>
                        <w:rFonts w:ascii="Cambria Math" w:eastAsia="宋体" w:hAnsi="Cambria Math"/>
                        <w:i/>
                        <w:szCs w:val="22"/>
                      </w:rPr>
                    </m:ctrlPr>
                  </m:sSubPr>
                  <m:e>
                    <m:r>
                      <w:rPr>
                        <w:rFonts w:ascii="Cambria Math" w:eastAsia="宋体" w:hAnsi="Cambria Math"/>
                        <w:szCs w:val="22"/>
                      </w:rPr>
                      <m:t>β</m:t>
                    </m:r>
                  </m:e>
                  <m:sub>
                    <m:r>
                      <w:rPr>
                        <w:rFonts w:ascii="Cambria Math" w:eastAsia="宋体" w:hAnsi="Cambria Math"/>
                        <w:szCs w:val="22"/>
                      </w:rPr>
                      <m:t>3</m:t>
                    </m:r>
                  </m:sub>
                </m:sSub>
                <m:sSub>
                  <m:sSubPr>
                    <m:ctrlPr>
                      <w:rPr>
                        <w:rFonts w:ascii="Cambria Math" w:eastAsia="宋体" w:hAnsi="Cambria Math"/>
                        <w:i/>
                        <w:szCs w:val="22"/>
                      </w:rPr>
                    </m:ctrlPr>
                  </m:sSubPr>
                  <m:e>
                    <m:r>
                      <w:rPr>
                        <w:rFonts w:ascii="Cambria Math" w:eastAsia="宋体" w:hAnsi="Cambria Math"/>
                        <w:szCs w:val="22"/>
                      </w:rPr>
                      <m:t>GOVEF</m:t>
                    </m:r>
                  </m:e>
                  <m:sub>
                    <m:r>
                      <w:rPr>
                        <w:rFonts w:ascii="Cambria Math" w:eastAsia="宋体" w:hAnsi="Cambria Math"/>
                        <w:szCs w:val="22"/>
                      </w:rPr>
                      <m:t>t</m:t>
                    </m:r>
                  </m:sub>
                </m:sSub>
                <m:r>
                  <w:rPr>
                    <w:rFonts w:ascii="Cambria Math" w:eastAsia="宋体" w:hAnsi="Cambria Math"/>
                    <w:szCs w:val="22"/>
                  </w:rPr>
                  <m:t>+</m:t>
                </m:r>
                <m:sSub>
                  <m:sSubPr>
                    <m:ctrlPr>
                      <w:rPr>
                        <w:rFonts w:ascii="Cambria Math" w:eastAsia="宋体" w:hAnsi="Cambria Math"/>
                        <w:i/>
                        <w:szCs w:val="22"/>
                      </w:rPr>
                    </m:ctrlPr>
                  </m:sSubPr>
                  <m:e>
                    <m:r>
                      <w:rPr>
                        <w:rFonts w:ascii="Cambria Math" w:eastAsia="宋体" w:hAnsi="Cambria Math"/>
                        <w:szCs w:val="22"/>
                      </w:rPr>
                      <m:t>μ</m:t>
                    </m:r>
                  </m:e>
                  <m:sub>
                    <m:r>
                      <w:rPr>
                        <w:rFonts w:ascii="Cambria Math" w:eastAsia="宋体" w:hAnsi="Cambria Math"/>
                        <w:szCs w:val="22"/>
                      </w:rPr>
                      <m:t>t2</m:t>
                    </m:r>
                  </m:sub>
                </m:sSub>
              </m:oMath>
            </m:oMathPara>
          </w:p>
        </w:tc>
        <w:tc>
          <w:tcPr>
            <w:tcW w:w="263" w:type="dxa"/>
            <w:noWrap/>
            <w:tcMar>
              <w:left w:w="0" w:type="dxa"/>
              <w:right w:w="0" w:type="dxa"/>
            </w:tcMar>
            <w:vAlign w:val="center"/>
          </w:tcPr>
          <w:p w14:paraId="5A89B1FA" w14:textId="77777777" w:rsidR="00BF0F78" w:rsidRPr="009B1BB3" w:rsidRDefault="00000000">
            <w:pPr>
              <w:overflowPunct w:val="0"/>
              <w:adjustRightInd w:val="0"/>
              <w:snapToGrid w:val="0"/>
              <w:spacing w:before="120" w:after="120" w:line="288" w:lineRule="auto"/>
              <w:jc w:val="right"/>
              <w:rPr>
                <w:rFonts w:eastAsia="宋体"/>
                <w:bCs/>
                <w:kern w:val="2"/>
                <w:lang w:eastAsia="zh-CN"/>
              </w:rPr>
            </w:pPr>
            <w:r w:rsidRPr="009B1BB3">
              <w:rPr>
                <w:rFonts w:eastAsia="宋体"/>
                <w:bCs/>
                <w:kern w:val="2"/>
                <w:lang w:eastAsia="zh-CN"/>
              </w:rPr>
              <w:t>(2)</w:t>
            </w:r>
          </w:p>
        </w:tc>
      </w:tr>
    </w:tbl>
    <w:p w14:paraId="5D31E2DA" w14:textId="33B42371" w:rsidR="00BF0F78" w:rsidRPr="00F43C60" w:rsidRDefault="00F43C60">
      <w:pPr>
        <w:widowControl w:val="0"/>
        <w:overflowPunct w:val="0"/>
        <w:autoSpaceDE w:val="0"/>
        <w:autoSpaceDN w:val="0"/>
        <w:adjustRightInd w:val="0"/>
        <w:snapToGrid w:val="0"/>
        <w:spacing w:after="0" w:line="288" w:lineRule="auto"/>
        <w:ind w:left="2948" w:firstLine="442"/>
        <w:jc w:val="both"/>
        <w:rPr>
          <w:rFonts w:hint="eastAsia"/>
          <w:szCs w:val="22"/>
          <w:lang w:eastAsia="zh-CN"/>
        </w:rPr>
      </w:pPr>
      <w:r w:rsidRPr="00F43C60">
        <w:rPr>
          <w:szCs w:val="22"/>
          <w:lang w:eastAsia="zh-CN"/>
        </w:rPr>
        <w:t xml:space="preserve">In the event that Equations (1) and (2) are estimated directly by means of Ordinary Least Square (OLS), the likelihood of a bias or spurious estimates is very </w:t>
      </w:r>
      <w:r w:rsidRPr="00F43C60">
        <w:rPr>
          <w:szCs w:val="22"/>
          <w:lang w:eastAsia="zh-CN"/>
        </w:rPr>
        <w:lastRenderedPageBreak/>
        <w:t xml:space="preserve">significant given that the variables were specified in their non-stationary form [59,60]. Thus, pretesting for unit root or stationarity to determine the order of integration of variables is imperative. In light of the above, this research adopted the Auto Regressive Distributive Lag (ARDL) bounds technique developed by </w:t>
      </w:r>
      <w:proofErr w:type="spellStart"/>
      <w:r w:rsidRPr="00F43C60">
        <w:rPr>
          <w:szCs w:val="22"/>
          <w:lang w:eastAsia="zh-CN"/>
        </w:rPr>
        <w:t>Pesaran</w:t>
      </w:r>
      <w:proofErr w:type="spellEnd"/>
      <w:r w:rsidRPr="00F43C60">
        <w:rPr>
          <w:szCs w:val="22"/>
          <w:lang w:eastAsia="zh-CN"/>
        </w:rPr>
        <w:t xml:space="preserve"> et al. [61]. The justification for the selection of this approach is based on its certain econometric advantages in comparison to other single cointegration procedures. Furthermore, the technique permits testing for the presence of a long-run association between variables, irrespective of their order of integration, which could either be purely </w:t>
      </w:r>
      <w:proofErr w:type="gramStart"/>
      <w:r w:rsidRPr="00F43C60">
        <w:rPr>
          <w:szCs w:val="22"/>
          <w:lang w:eastAsia="zh-CN"/>
        </w:rPr>
        <w:t>I(</w:t>
      </w:r>
      <w:proofErr w:type="gramEnd"/>
      <w:r w:rsidRPr="00F43C60">
        <w:rPr>
          <w:szCs w:val="22"/>
          <w:lang w:eastAsia="zh-CN"/>
        </w:rPr>
        <w:t xml:space="preserve">0) or purely </w:t>
      </w:r>
      <w:proofErr w:type="gramStart"/>
      <w:r w:rsidRPr="00F43C60">
        <w:rPr>
          <w:szCs w:val="22"/>
          <w:lang w:eastAsia="zh-CN"/>
        </w:rPr>
        <w:t>I(</w:t>
      </w:r>
      <w:proofErr w:type="gramEnd"/>
      <w:r w:rsidRPr="00F43C60">
        <w:rPr>
          <w:szCs w:val="22"/>
          <w:lang w:eastAsia="zh-CN"/>
        </w:rPr>
        <w:t xml:space="preserve">1), or a combination of both, but definitely not </w:t>
      </w:r>
      <w:proofErr w:type="gramStart"/>
      <w:r w:rsidRPr="00F43C60">
        <w:rPr>
          <w:szCs w:val="22"/>
          <w:lang w:eastAsia="zh-CN"/>
        </w:rPr>
        <w:t>I(</w:t>
      </w:r>
      <w:proofErr w:type="gramEnd"/>
      <w:r w:rsidRPr="00F43C60">
        <w:rPr>
          <w:szCs w:val="22"/>
          <w:lang w:eastAsia="zh-CN"/>
        </w:rPr>
        <w:t>2). Likewise, endogeneity problems and the inability to test hypotheses on the estimated coefficients in the long run associated with the Engle-Granger [62] method are prevented. Therefore, the ARDL specifications for Equations (1) and (2) are given as:</w:t>
      </w:r>
    </w:p>
    <w:tbl>
      <w:tblPr>
        <w:tblStyle w:val="af5"/>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1"/>
        <w:gridCol w:w="276"/>
      </w:tblGrid>
      <w:tr w:rsidR="009966AD" w:rsidRPr="009B1BB3" w14:paraId="3C5C3776" w14:textId="77777777" w:rsidTr="00822EF1">
        <w:trPr>
          <w:cantSplit/>
          <w:jc w:val="center"/>
        </w:trPr>
        <w:tc>
          <w:tcPr>
            <w:tcW w:w="10206" w:type="dxa"/>
            <w:noWrap/>
            <w:tcMar>
              <w:left w:w="0" w:type="dxa"/>
              <w:right w:w="0" w:type="dxa"/>
            </w:tcMar>
            <w:vAlign w:val="center"/>
          </w:tcPr>
          <w:p w14:paraId="68D6A4EA" w14:textId="77777777" w:rsidR="00BF0F78" w:rsidRPr="009B1BB3" w:rsidRDefault="00000000">
            <w:pPr>
              <w:overflowPunct w:val="0"/>
              <w:adjustRightInd w:val="0"/>
              <w:snapToGrid w:val="0"/>
              <w:spacing w:before="120" w:after="120" w:line="288" w:lineRule="auto"/>
              <w:jc w:val="center"/>
              <w:rPr>
                <w:rFonts w:eastAsia="宋体"/>
                <w:bCs/>
                <w:kern w:val="2"/>
                <w:lang w:eastAsia="zh-CN"/>
              </w:rPr>
            </w:pPr>
            <m:oMathPara>
              <m:oMathParaPr>
                <m:jc m:val="center"/>
              </m:oMathParaPr>
              <m:oMath>
                <m:sSub>
                  <m:sSubPr>
                    <m:ctrlPr>
                      <w:rPr>
                        <w:rFonts w:ascii="Cambria Math" w:eastAsia="宋体" w:hAnsi="Cambria Math"/>
                        <w:i/>
                        <w:szCs w:val="22"/>
                      </w:rPr>
                    </m:ctrlPr>
                  </m:sSubPr>
                  <m:e>
                    <m:r>
                      <w:rPr>
                        <w:rFonts w:ascii="Cambria Math" w:eastAsia="宋体" w:hAnsi="Cambria Math"/>
                        <w:szCs w:val="22"/>
                      </w:rPr>
                      <m:t>∆PGI</m:t>
                    </m:r>
                  </m:e>
                  <m:sub>
                    <m:r>
                      <w:rPr>
                        <w:rFonts w:ascii="Cambria Math" w:eastAsia="宋体" w:hAnsi="Cambria Math"/>
                        <w:szCs w:val="22"/>
                      </w:rPr>
                      <m:t>t</m:t>
                    </m:r>
                  </m:sub>
                </m:sSub>
                <m:r>
                  <w:rPr>
                    <w:rFonts w:ascii="Cambria Math" w:eastAsia="宋体" w:hAnsi="Cambria Math"/>
                    <w:szCs w:val="22"/>
                  </w:rPr>
                  <m:t>=</m:t>
                </m:r>
                <m:sSub>
                  <m:sSubPr>
                    <m:ctrlPr>
                      <w:rPr>
                        <w:rFonts w:ascii="Cambria Math" w:eastAsia="宋体" w:hAnsi="Cambria Math"/>
                        <w:i/>
                        <w:szCs w:val="22"/>
                      </w:rPr>
                    </m:ctrlPr>
                  </m:sSubPr>
                  <m:e>
                    <m:r>
                      <w:rPr>
                        <w:rFonts w:ascii="Cambria Math" w:eastAsia="宋体" w:hAnsi="Cambria Math"/>
                        <w:szCs w:val="22"/>
                      </w:rPr>
                      <m:t>α</m:t>
                    </m:r>
                  </m:e>
                  <m:sub>
                    <m:r>
                      <w:rPr>
                        <w:rFonts w:ascii="Cambria Math" w:eastAsia="宋体" w:hAnsi="Cambria Math"/>
                        <w:szCs w:val="22"/>
                      </w:rPr>
                      <m:t>0</m:t>
                    </m:r>
                  </m:sub>
                </m:sSub>
                <m:r>
                  <w:rPr>
                    <w:rFonts w:ascii="Cambria Math" w:eastAsia="宋体" w:hAnsi="Cambria Math"/>
                    <w:szCs w:val="22"/>
                  </w:rPr>
                  <m:t>+</m:t>
                </m:r>
                <m:sSub>
                  <m:sSubPr>
                    <m:ctrlPr>
                      <w:rPr>
                        <w:rFonts w:ascii="Cambria Math" w:eastAsia="宋体" w:hAnsi="Cambria Math"/>
                        <w:i/>
                        <w:szCs w:val="22"/>
                      </w:rPr>
                    </m:ctrlPr>
                  </m:sSubPr>
                  <m:e>
                    <m:r>
                      <w:rPr>
                        <w:rFonts w:ascii="Cambria Math" w:eastAsia="宋体" w:hAnsi="Cambria Math"/>
                        <w:szCs w:val="22"/>
                      </w:rPr>
                      <m:t>α</m:t>
                    </m:r>
                  </m:e>
                  <m:sub>
                    <m:r>
                      <w:rPr>
                        <w:rFonts w:ascii="Cambria Math" w:eastAsia="宋体" w:hAnsi="Cambria Math"/>
                        <w:szCs w:val="22"/>
                      </w:rPr>
                      <m:t>1</m:t>
                    </m:r>
                  </m:sub>
                </m:sSub>
                <m:sSub>
                  <m:sSubPr>
                    <m:ctrlPr>
                      <w:rPr>
                        <w:rFonts w:ascii="Cambria Math" w:eastAsia="宋体" w:hAnsi="Cambria Math"/>
                        <w:i/>
                        <w:szCs w:val="22"/>
                      </w:rPr>
                    </m:ctrlPr>
                  </m:sSubPr>
                  <m:e>
                    <m:r>
                      <w:rPr>
                        <w:rFonts w:ascii="Cambria Math" w:eastAsia="宋体" w:hAnsi="Cambria Math"/>
                        <w:szCs w:val="22"/>
                      </w:rPr>
                      <m:t>PGI</m:t>
                    </m:r>
                  </m:e>
                  <m:sub>
                    <m:r>
                      <w:rPr>
                        <w:rFonts w:ascii="Cambria Math" w:eastAsia="宋体" w:hAnsi="Cambria Math"/>
                        <w:szCs w:val="22"/>
                      </w:rPr>
                      <m:t>t-1</m:t>
                    </m:r>
                  </m:sub>
                </m:sSub>
                <m:r>
                  <w:rPr>
                    <w:rFonts w:ascii="Cambria Math" w:eastAsia="宋体" w:hAnsi="Cambria Math"/>
                    <w:szCs w:val="22"/>
                  </w:rPr>
                  <m:t>+</m:t>
                </m:r>
                <m:sSub>
                  <m:sSubPr>
                    <m:ctrlPr>
                      <w:rPr>
                        <w:rFonts w:ascii="Cambria Math" w:eastAsia="宋体" w:hAnsi="Cambria Math"/>
                        <w:i/>
                        <w:szCs w:val="22"/>
                      </w:rPr>
                    </m:ctrlPr>
                  </m:sSubPr>
                  <m:e>
                    <m:r>
                      <w:rPr>
                        <w:rFonts w:ascii="Cambria Math" w:eastAsia="宋体" w:hAnsi="Cambria Math"/>
                        <w:szCs w:val="22"/>
                      </w:rPr>
                      <m:t>α</m:t>
                    </m:r>
                  </m:e>
                  <m:sub>
                    <m:r>
                      <w:rPr>
                        <w:rFonts w:ascii="Cambria Math" w:eastAsia="宋体" w:hAnsi="Cambria Math"/>
                        <w:szCs w:val="22"/>
                      </w:rPr>
                      <m:t>2</m:t>
                    </m:r>
                  </m:sub>
                </m:sSub>
                <m:sSub>
                  <m:sSubPr>
                    <m:ctrlPr>
                      <w:rPr>
                        <w:rFonts w:ascii="Cambria Math" w:eastAsia="宋体" w:hAnsi="Cambria Math"/>
                        <w:i/>
                        <w:szCs w:val="22"/>
                      </w:rPr>
                    </m:ctrlPr>
                  </m:sSubPr>
                  <m:e>
                    <m:r>
                      <w:rPr>
                        <w:rFonts w:ascii="Cambria Math" w:eastAsia="宋体" w:hAnsi="Cambria Math"/>
                        <w:szCs w:val="22"/>
                      </w:rPr>
                      <m:t>GDP</m:t>
                    </m:r>
                  </m:e>
                  <m:sub>
                    <m:r>
                      <w:rPr>
                        <w:rFonts w:ascii="Cambria Math" w:eastAsia="宋体" w:hAnsi="Cambria Math"/>
                        <w:szCs w:val="22"/>
                      </w:rPr>
                      <m:t>t-1</m:t>
                    </m:r>
                  </m:sub>
                </m:sSub>
                <m:r>
                  <w:rPr>
                    <w:rFonts w:ascii="Cambria Math" w:eastAsia="宋体" w:hAnsi="Cambria Math"/>
                    <w:szCs w:val="22"/>
                  </w:rPr>
                  <m:t>+</m:t>
                </m:r>
                <m:sSub>
                  <m:sSubPr>
                    <m:ctrlPr>
                      <w:rPr>
                        <w:rFonts w:ascii="Cambria Math" w:eastAsia="宋体" w:hAnsi="Cambria Math"/>
                        <w:i/>
                        <w:szCs w:val="22"/>
                      </w:rPr>
                    </m:ctrlPr>
                  </m:sSubPr>
                  <m:e>
                    <m:r>
                      <w:rPr>
                        <w:rFonts w:ascii="Cambria Math" w:eastAsia="宋体" w:hAnsi="Cambria Math"/>
                        <w:szCs w:val="22"/>
                      </w:rPr>
                      <m:t>α</m:t>
                    </m:r>
                  </m:e>
                  <m:sub>
                    <m:r>
                      <w:rPr>
                        <w:rFonts w:ascii="Cambria Math" w:eastAsia="宋体" w:hAnsi="Cambria Math"/>
                        <w:szCs w:val="22"/>
                      </w:rPr>
                      <m:t>3</m:t>
                    </m:r>
                  </m:sub>
                </m:sSub>
                <m:sSub>
                  <m:sSubPr>
                    <m:ctrlPr>
                      <w:rPr>
                        <w:rFonts w:ascii="Cambria Math" w:eastAsia="宋体" w:hAnsi="Cambria Math"/>
                        <w:i/>
                        <w:szCs w:val="22"/>
                      </w:rPr>
                    </m:ctrlPr>
                  </m:sSubPr>
                  <m:e>
                    <m:r>
                      <w:rPr>
                        <w:rFonts w:ascii="Cambria Math" w:eastAsia="宋体" w:hAnsi="Cambria Math"/>
                        <w:szCs w:val="22"/>
                      </w:rPr>
                      <m:t>EDGDP</m:t>
                    </m:r>
                  </m:e>
                  <m:sub>
                    <m:r>
                      <w:rPr>
                        <w:rFonts w:ascii="Cambria Math" w:eastAsia="宋体" w:hAnsi="Cambria Math"/>
                        <w:szCs w:val="22"/>
                      </w:rPr>
                      <m:t>t-1</m:t>
                    </m:r>
                  </m:sub>
                </m:sSub>
                <m:r>
                  <w:rPr>
                    <w:rFonts w:ascii="Cambria Math" w:eastAsia="宋体" w:hAnsi="Cambria Math"/>
                    <w:szCs w:val="22"/>
                  </w:rPr>
                  <m:t>+</m:t>
                </m:r>
                <m:sSub>
                  <m:sSubPr>
                    <m:ctrlPr>
                      <w:rPr>
                        <w:rFonts w:ascii="Cambria Math" w:eastAsia="宋体" w:hAnsi="Cambria Math"/>
                        <w:i/>
                        <w:szCs w:val="22"/>
                      </w:rPr>
                    </m:ctrlPr>
                  </m:sSubPr>
                  <m:e>
                    <m:r>
                      <w:rPr>
                        <w:rFonts w:ascii="Cambria Math" w:eastAsia="宋体" w:hAnsi="Cambria Math"/>
                        <w:szCs w:val="22"/>
                      </w:rPr>
                      <m:t>α</m:t>
                    </m:r>
                  </m:e>
                  <m:sub>
                    <m:r>
                      <w:rPr>
                        <w:rFonts w:ascii="Cambria Math" w:eastAsia="宋体" w:hAnsi="Cambria Math"/>
                        <w:szCs w:val="22"/>
                      </w:rPr>
                      <m:t>4</m:t>
                    </m:r>
                  </m:sub>
                </m:sSub>
                <m:sSub>
                  <m:sSubPr>
                    <m:ctrlPr>
                      <w:rPr>
                        <w:rFonts w:ascii="Cambria Math" w:eastAsia="宋体" w:hAnsi="Cambria Math"/>
                        <w:i/>
                        <w:szCs w:val="22"/>
                      </w:rPr>
                    </m:ctrlPr>
                  </m:sSubPr>
                  <m:e>
                    <m:r>
                      <w:rPr>
                        <w:rFonts w:ascii="Cambria Math" w:eastAsia="宋体" w:hAnsi="Cambria Math"/>
                        <w:szCs w:val="22"/>
                      </w:rPr>
                      <m:t>GOVEF</m:t>
                    </m:r>
                  </m:e>
                  <m:sub>
                    <m:r>
                      <w:rPr>
                        <w:rFonts w:ascii="Cambria Math" w:eastAsia="宋体" w:hAnsi="Cambria Math"/>
                        <w:szCs w:val="22"/>
                      </w:rPr>
                      <m:t>t-1</m:t>
                    </m:r>
                  </m:sub>
                </m:sSub>
                <m:r>
                  <w:rPr>
                    <w:rFonts w:ascii="Cambria Math" w:eastAsia="宋体" w:hAnsi="Cambria Math"/>
                    <w:szCs w:val="22"/>
                  </w:rPr>
                  <m:t>+</m:t>
                </m:r>
                <m:nary>
                  <m:naryPr>
                    <m:chr m:val="∑"/>
                    <m:limLoc m:val="undOvr"/>
                    <m:ctrlPr>
                      <w:rPr>
                        <w:rFonts w:ascii="Cambria Math" w:eastAsia="宋体" w:hAnsi="Cambria Math"/>
                        <w:i/>
                        <w:szCs w:val="22"/>
                      </w:rPr>
                    </m:ctrlPr>
                  </m:naryPr>
                  <m:sub>
                    <m:r>
                      <w:rPr>
                        <w:rFonts w:ascii="Cambria Math" w:eastAsia="宋体" w:hAnsi="Cambria Math"/>
                        <w:szCs w:val="22"/>
                      </w:rPr>
                      <m:t>j=1</m:t>
                    </m:r>
                  </m:sub>
                  <m:sup>
                    <m:r>
                      <w:rPr>
                        <w:rFonts w:ascii="Cambria Math" w:eastAsia="宋体" w:hAnsi="Cambria Math"/>
                        <w:szCs w:val="22"/>
                      </w:rPr>
                      <m:t>p</m:t>
                    </m:r>
                  </m:sup>
                  <m:e>
                    <m:sSub>
                      <m:sSubPr>
                        <m:ctrlPr>
                          <w:rPr>
                            <w:rFonts w:ascii="Cambria Math" w:eastAsia="宋体" w:hAnsi="Cambria Math"/>
                            <w:i/>
                            <w:szCs w:val="22"/>
                          </w:rPr>
                        </m:ctrlPr>
                      </m:sSubPr>
                      <m:e>
                        <m:r>
                          <w:rPr>
                            <w:rFonts w:ascii="Cambria Math" w:eastAsia="宋体" w:hAnsi="Cambria Math"/>
                            <w:szCs w:val="22"/>
                          </w:rPr>
                          <m:t>π</m:t>
                        </m:r>
                      </m:e>
                      <m:sub>
                        <m:r>
                          <w:rPr>
                            <w:rFonts w:ascii="Cambria Math" w:eastAsia="宋体" w:hAnsi="Cambria Math"/>
                            <w:szCs w:val="22"/>
                          </w:rPr>
                          <m:t>i1</m:t>
                        </m:r>
                      </m:sub>
                    </m:sSub>
                    <m:sSub>
                      <m:sSubPr>
                        <m:ctrlPr>
                          <w:rPr>
                            <w:rFonts w:ascii="Cambria Math" w:eastAsia="宋体" w:hAnsi="Cambria Math"/>
                            <w:i/>
                            <w:szCs w:val="22"/>
                          </w:rPr>
                        </m:ctrlPr>
                      </m:sSubPr>
                      <m:e>
                        <m:r>
                          <w:rPr>
                            <w:rFonts w:ascii="Cambria Math" w:eastAsia="宋体" w:hAnsi="Cambria Math"/>
                            <w:szCs w:val="22"/>
                          </w:rPr>
                          <m:t>∆PGI</m:t>
                        </m:r>
                      </m:e>
                      <m:sub>
                        <m:r>
                          <w:rPr>
                            <w:rFonts w:ascii="Cambria Math" w:eastAsia="宋体" w:hAnsi="Cambria Math"/>
                            <w:szCs w:val="22"/>
                          </w:rPr>
                          <m:t>t-j</m:t>
                        </m:r>
                      </m:sub>
                    </m:sSub>
                  </m:e>
                </m:nary>
                <m:r>
                  <w:rPr>
                    <w:rFonts w:ascii="Cambria Math" w:eastAsia="宋体" w:hAnsi="Cambria Math"/>
                    <w:szCs w:val="22"/>
                  </w:rPr>
                  <m:t>+</m:t>
                </m:r>
                <m:nary>
                  <m:naryPr>
                    <m:chr m:val="∑"/>
                    <m:limLoc m:val="undOvr"/>
                    <m:ctrlPr>
                      <w:rPr>
                        <w:rFonts w:ascii="Cambria Math" w:eastAsia="宋体" w:hAnsi="Cambria Math"/>
                        <w:i/>
                        <w:szCs w:val="22"/>
                      </w:rPr>
                    </m:ctrlPr>
                  </m:naryPr>
                  <m:sub>
                    <m:r>
                      <w:rPr>
                        <w:rFonts w:ascii="Cambria Math" w:eastAsia="宋体" w:hAnsi="Cambria Math"/>
                        <w:szCs w:val="22"/>
                      </w:rPr>
                      <m:t>j=0</m:t>
                    </m:r>
                  </m:sub>
                  <m:sup>
                    <m:r>
                      <w:rPr>
                        <w:rFonts w:ascii="Cambria Math" w:eastAsia="宋体" w:hAnsi="Cambria Math"/>
                        <w:szCs w:val="22"/>
                      </w:rPr>
                      <m:t>p</m:t>
                    </m:r>
                  </m:sup>
                  <m:e>
                    <m:sSub>
                      <m:sSubPr>
                        <m:ctrlPr>
                          <w:rPr>
                            <w:rFonts w:ascii="Cambria Math" w:eastAsia="宋体" w:hAnsi="Cambria Math"/>
                            <w:i/>
                            <w:szCs w:val="22"/>
                          </w:rPr>
                        </m:ctrlPr>
                      </m:sSubPr>
                      <m:e>
                        <m:r>
                          <w:rPr>
                            <w:rFonts w:ascii="Cambria Math" w:eastAsia="宋体" w:hAnsi="Cambria Math"/>
                            <w:szCs w:val="22"/>
                          </w:rPr>
                          <m:t>σ</m:t>
                        </m:r>
                      </m:e>
                      <m:sub>
                        <m:r>
                          <w:rPr>
                            <w:rFonts w:ascii="Cambria Math" w:eastAsia="宋体" w:hAnsi="Cambria Math"/>
                            <w:szCs w:val="22"/>
                          </w:rPr>
                          <m:t>i1</m:t>
                        </m:r>
                      </m:sub>
                    </m:sSub>
                    <m:sSub>
                      <m:sSubPr>
                        <m:ctrlPr>
                          <w:rPr>
                            <w:rFonts w:ascii="Cambria Math" w:eastAsia="宋体" w:hAnsi="Cambria Math"/>
                            <w:i/>
                            <w:szCs w:val="22"/>
                          </w:rPr>
                        </m:ctrlPr>
                      </m:sSubPr>
                      <m:e>
                        <m:r>
                          <w:rPr>
                            <w:rFonts w:ascii="Cambria Math" w:eastAsia="宋体" w:hAnsi="Cambria Math"/>
                            <w:szCs w:val="22"/>
                          </w:rPr>
                          <m:t>∆GDP</m:t>
                        </m:r>
                      </m:e>
                      <m:sub>
                        <m:r>
                          <w:rPr>
                            <w:rFonts w:ascii="Cambria Math" w:eastAsia="宋体" w:hAnsi="Cambria Math"/>
                            <w:szCs w:val="22"/>
                          </w:rPr>
                          <m:t>t-j</m:t>
                        </m:r>
                      </m:sub>
                    </m:sSub>
                  </m:e>
                </m:nary>
                <m:r>
                  <w:rPr>
                    <w:rFonts w:ascii="Cambria Math" w:eastAsia="宋体" w:hAnsi="Cambria Math"/>
                    <w:szCs w:val="22"/>
                  </w:rPr>
                  <m:t>+</m:t>
                </m:r>
                <m:nary>
                  <m:naryPr>
                    <m:chr m:val="∑"/>
                    <m:limLoc m:val="undOvr"/>
                    <m:ctrlPr>
                      <w:rPr>
                        <w:rFonts w:ascii="Cambria Math" w:eastAsia="宋体" w:hAnsi="Cambria Math"/>
                        <w:i/>
                        <w:szCs w:val="22"/>
                      </w:rPr>
                    </m:ctrlPr>
                  </m:naryPr>
                  <m:sub>
                    <m:r>
                      <w:rPr>
                        <w:rFonts w:ascii="Cambria Math" w:eastAsia="宋体" w:hAnsi="Cambria Math"/>
                        <w:szCs w:val="22"/>
                      </w:rPr>
                      <m:t>j=0</m:t>
                    </m:r>
                  </m:sub>
                  <m:sup>
                    <m:r>
                      <w:rPr>
                        <w:rFonts w:ascii="Cambria Math" w:eastAsia="宋体" w:hAnsi="Cambria Math"/>
                        <w:szCs w:val="22"/>
                      </w:rPr>
                      <m:t>p</m:t>
                    </m:r>
                  </m:sup>
                  <m:e>
                    <m:sSub>
                      <m:sSubPr>
                        <m:ctrlPr>
                          <w:rPr>
                            <w:rFonts w:ascii="Cambria Math" w:eastAsia="宋体" w:hAnsi="Cambria Math"/>
                            <w:i/>
                            <w:szCs w:val="22"/>
                          </w:rPr>
                        </m:ctrlPr>
                      </m:sSubPr>
                      <m:e>
                        <m:r>
                          <w:rPr>
                            <w:rFonts w:ascii="Cambria Math" w:eastAsia="宋体" w:hAnsi="Cambria Math"/>
                            <w:szCs w:val="22"/>
                          </w:rPr>
                          <m:t>τ</m:t>
                        </m:r>
                      </m:e>
                      <m:sub>
                        <m:r>
                          <w:rPr>
                            <w:rFonts w:ascii="Cambria Math" w:eastAsia="宋体" w:hAnsi="Cambria Math"/>
                            <w:szCs w:val="22"/>
                          </w:rPr>
                          <m:t>i1</m:t>
                        </m:r>
                      </m:sub>
                    </m:sSub>
                    <m:sSub>
                      <m:sSubPr>
                        <m:ctrlPr>
                          <w:rPr>
                            <w:rFonts w:ascii="Cambria Math" w:eastAsia="宋体" w:hAnsi="Cambria Math"/>
                            <w:i/>
                            <w:szCs w:val="22"/>
                          </w:rPr>
                        </m:ctrlPr>
                      </m:sSubPr>
                      <m:e>
                        <m:r>
                          <w:rPr>
                            <w:rFonts w:ascii="Cambria Math" w:eastAsia="宋体" w:hAnsi="Cambria Math"/>
                            <w:szCs w:val="22"/>
                          </w:rPr>
                          <m:t>∆EDGDP</m:t>
                        </m:r>
                      </m:e>
                      <m:sub>
                        <m:r>
                          <w:rPr>
                            <w:rFonts w:ascii="Cambria Math" w:eastAsia="宋体" w:hAnsi="Cambria Math"/>
                            <w:szCs w:val="22"/>
                          </w:rPr>
                          <m:t>t-j</m:t>
                        </m:r>
                      </m:sub>
                    </m:sSub>
                  </m:e>
                </m:nary>
                <m:r>
                  <w:rPr>
                    <w:rFonts w:ascii="Cambria Math" w:eastAsia="宋体" w:hAnsi="Cambria Math"/>
                    <w:szCs w:val="22"/>
                  </w:rPr>
                  <m:t>+</m:t>
                </m:r>
                <m:nary>
                  <m:naryPr>
                    <m:chr m:val="∑"/>
                    <m:limLoc m:val="undOvr"/>
                    <m:ctrlPr>
                      <w:rPr>
                        <w:rFonts w:ascii="Cambria Math" w:eastAsia="宋体" w:hAnsi="Cambria Math"/>
                        <w:i/>
                        <w:szCs w:val="22"/>
                      </w:rPr>
                    </m:ctrlPr>
                  </m:naryPr>
                  <m:sub>
                    <m:r>
                      <w:rPr>
                        <w:rFonts w:ascii="Cambria Math" w:eastAsia="宋体" w:hAnsi="Cambria Math"/>
                        <w:szCs w:val="22"/>
                      </w:rPr>
                      <m:t>j=0</m:t>
                    </m:r>
                  </m:sub>
                  <m:sup>
                    <m:r>
                      <w:rPr>
                        <w:rFonts w:ascii="Cambria Math" w:eastAsia="宋体" w:hAnsi="Cambria Math"/>
                        <w:szCs w:val="22"/>
                      </w:rPr>
                      <m:t>p</m:t>
                    </m:r>
                  </m:sup>
                  <m:e>
                    <m:sSub>
                      <m:sSubPr>
                        <m:ctrlPr>
                          <w:rPr>
                            <w:rFonts w:ascii="Cambria Math" w:eastAsia="宋体" w:hAnsi="Cambria Math"/>
                            <w:i/>
                            <w:szCs w:val="22"/>
                          </w:rPr>
                        </m:ctrlPr>
                      </m:sSubPr>
                      <m:e>
                        <m:r>
                          <w:rPr>
                            <w:rFonts w:ascii="Cambria Math" w:eastAsia="宋体" w:hAnsi="Cambria Math"/>
                            <w:szCs w:val="22"/>
                          </w:rPr>
                          <m:t>δ</m:t>
                        </m:r>
                      </m:e>
                      <m:sub>
                        <m:r>
                          <w:rPr>
                            <w:rFonts w:ascii="Cambria Math" w:eastAsia="宋体" w:hAnsi="Cambria Math"/>
                            <w:szCs w:val="22"/>
                          </w:rPr>
                          <m:t>i1</m:t>
                        </m:r>
                      </m:sub>
                    </m:sSub>
                    <m:sSub>
                      <m:sSubPr>
                        <m:ctrlPr>
                          <w:rPr>
                            <w:rFonts w:ascii="Cambria Math" w:eastAsia="宋体" w:hAnsi="Cambria Math"/>
                            <w:i/>
                            <w:szCs w:val="22"/>
                          </w:rPr>
                        </m:ctrlPr>
                      </m:sSubPr>
                      <m:e>
                        <m:r>
                          <w:rPr>
                            <w:rFonts w:ascii="Cambria Math" w:eastAsia="宋体" w:hAnsi="Cambria Math"/>
                            <w:szCs w:val="22"/>
                          </w:rPr>
                          <m:t>∆GOVEF</m:t>
                        </m:r>
                      </m:e>
                      <m:sub>
                        <m:r>
                          <w:rPr>
                            <w:rFonts w:ascii="Cambria Math" w:eastAsia="宋体" w:hAnsi="Cambria Math"/>
                            <w:szCs w:val="22"/>
                          </w:rPr>
                          <m:t>t-j</m:t>
                        </m:r>
                      </m:sub>
                    </m:sSub>
                  </m:e>
                </m:nary>
                <m:r>
                  <w:rPr>
                    <w:rFonts w:ascii="Cambria Math" w:eastAsia="宋体" w:hAnsi="Cambria Math"/>
                    <w:szCs w:val="22"/>
                  </w:rPr>
                  <m:t>+</m:t>
                </m:r>
                <m:sSub>
                  <m:sSubPr>
                    <m:ctrlPr>
                      <w:rPr>
                        <w:rFonts w:ascii="Cambria Math" w:eastAsia="宋体" w:hAnsi="Cambria Math"/>
                        <w:i/>
                        <w:szCs w:val="22"/>
                      </w:rPr>
                    </m:ctrlPr>
                  </m:sSubPr>
                  <m:e>
                    <m:r>
                      <w:rPr>
                        <w:rFonts w:ascii="Cambria Math" w:eastAsia="宋体" w:hAnsi="Cambria Math"/>
                        <w:szCs w:val="22"/>
                      </w:rPr>
                      <m:t>∅</m:t>
                    </m:r>
                  </m:e>
                  <m:sub>
                    <m:r>
                      <w:rPr>
                        <w:rFonts w:ascii="Cambria Math" w:eastAsia="宋体" w:hAnsi="Cambria Math"/>
                        <w:szCs w:val="22"/>
                      </w:rPr>
                      <m:t>1</m:t>
                    </m:r>
                  </m:sub>
                </m:sSub>
                <m:sSub>
                  <m:sSubPr>
                    <m:ctrlPr>
                      <w:rPr>
                        <w:rFonts w:ascii="Cambria Math" w:eastAsia="宋体" w:hAnsi="Cambria Math"/>
                        <w:i/>
                        <w:szCs w:val="22"/>
                      </w:rPr>
                    </m:ctrlPr>
                  </m:sSubPr>
                  <m:e>
                    <m:r>
                      <w:rPr>
                        <w:rFonts w:ascii="Cambria Math" w:eastAsia="宋体" w:hAnsi="Cambria Math"/>
                        <w:szCs w:val="22"/>
                      </w:rPr>
                      <m:t>ecm</m:t>
                    </m:r>
                  </m:e>
                  <m:sub>
                    <m:r>
                      <w:rPr>
                        <w:rFonts w:ascii="Cambria Math" w:eastAsia="宋体" w:hAnsi="Cambria Math"/>
                        <w:szCs w:val="22"/>
                      </w:rPr>
                      <m:t>t-1</m:t>
                    </m:r>
                  </m:sub>
                </m:sSub>
                <m:r>
                  <w:rPr>
                    <w:rFonts w:ascii="Cambria Math" w:eastAsia="宋体" w:hAnsi="Cambria Math"/>
                    <w:szCs w:val="22"/>
                  </w:rPr>
                  <m:t>+</m:t>
                </m:r>
                <m:sSub>
                  <m:sSubPr>
                    <m:ctrlPr>
                      <w:rPr>
                        <w:rFonts w:ascii="Cambria Math" w:eastAsia="宋体" w:hAnsi="Cambria Math"/>
                        <w:i/>
                        <w:szCs w:val="22"/>
                      </w:rPr>
                    </m:ctrlPr>
                  </m:sSubPr>
                  <m:e>
                    <m:r>
                      <w:rPr>
                        <w:rFonts w:ascii="Cambria Math" w:eastAsia="宋体" w:hAnsi="Cambria Math"/>
                        <w:szCs w:val="22"/>
                      </w:rPr>
                      <m:t>ε</m:t>
                    </m:r>
                  </m:e>
                  <m:sub>
                    <m:r>
                      <w:rPr>
                        <w:rFonts w:ascii="Cambria Math" w:eastAsia="宋体" w:hAnsi="Cambria Math"/>
                        <w:szCs w:val="22"/>
                      </w:rPr>
                      <m:t>t1</m:t>
                    </m:r>
                  </m:sub>
                </m:sSub>
              </m:oMath>
            </m:oMathPara>
          </w:p>
        </w:tc>
        <w:tc>
          <w:tcPr>
            <w:tcW w:w="261" w:type="dxa"/>
            <w:noWrap/>
            <w:tcMar>
              <w:left w:w="0" w:type="dxa"/>
              <w:right w:w="0" w:type="dxa"/>
            </w:tcMar>
            <w:vAlign w:val="center"/>
          </w:tcPr>
          <w:p w14:paraId="0D8181C6" w14:textId="77777777" w:rsidR="00BF0F78" w:rsidRPr="009B1BB3" w:rsidRDefault="00000000">
            <w:pPr>
              <w:overflowPunct w:val="0"/>
              <w:adjustRightInd w:val="0"/>
              <w:snapToGrid w:val="0"/>
              <w:spacing w:before="120" w:after="120" w:line="288" w:lineRule="auto"/>
              <w:jc w:val="right"/>
              <w:rPr>
                <w:rFonts w:eastAsia="宋体"/>
                <w:bCs/>
                <w:kern w:val="2"/>
                <w:lang w:eastAsia="zh-CN"/>
              </w:rPr>
            </w:pPr>
            <w:r w:rsidRPr="009B1BB3">
              <w:rPr>
                <w:rFonts w:eastAsia="宋体"/>
                <w:bCs/>
                <w:kern w:val="2"/>
                <w:lang w:eastAsia="zh-CN"/>
              </w:rPr>
              <w:t>(3)</w:t>
            </w:r>
          </w:p>
        </w:tc>
      </w:tr>
      <w:tr w:rsidR="009966AD" w:rsidRPr="009B1BB3" w14:paraId="6336FC3F" w14:textId="77777777" w:rsidTr="00822EF1">
        <w:trPr>
          <w:cantSplit/>
          <w:jc w:val="center"/>
        </w:trPr>
        <w:tc>
          <w:tcPr>
            <w:tcW w:w="10206" w:type="dxa"/>
            <w:noWrap/>
            <w:tcMar>
              <w:left w:w="0" w:type="dxa"/>
              <w:right w:w="0" w:type="dxa"/>
            </w:tcMar>
            <w:vAlign w:val="center"/>
          </w:tcPr>
          <w:p w14:paraId="38C87BFD" w14:textId="77777777" w:rsidR="00BF0F78" w:rsidRPr="009B1BB3" w:rsidRDefault="00000000">
            <w:pPr>
              <w:overflowPunct w:val="0"/>
              <w:adjustRightInd w:val="0"/>
              <w:snapToGrid w:val="0"/>
              <w:spacing w:before="120" w:after="120" w:line="288" w:lineRule="auto"/>
              <w:jc w:val="center"/>
              <w:rPr>
                <w:rFonts w:eastAsia="宋体"/>
                <w:szCs w:val="22"/>
              </w:rPr>
            </w:pPr>
            <m:oMathPara>
              <m:oMath>
                <m:sSub>
                  <m:sSubPr>
                    <m:ctrlPr>
                      <w:rPr>
                        <w:rFonts w:ascii="Cambria Math" w:eastAsia="宋体" w:hAnsi="Cambria Math"/>
                        <w:i/>
                        <w:szCs w:val="22"/>
                      </w:rPr>
                    </m:ctrlPr>
                  </m:sSubPr>
                  <m:e>
                    <m:r>
                      <w:rPr>
                        <w:rFonts w:ascii="Cambria Math" w:eastAsia="宋体" w:hAnsi="Cambria Math"/>
                        <w:szCs w:val="22"/>
                      </w:rPr>
                      <m:t>∆INQ</m:t>
                    </m:r>
                  </m:e>
                  <m:sub>
                    <m:r>
                      <w:rPr>
                        <w:rFonts w:ascii="Cambria Math" w:eastAsia="宋体" w:hAnsi="Cambria Math"/>
                        <w:szCs w:val="22"/>
                      </w:rPr>
                      <m:t>t</m:t>
                    </m:r>
                  </m:sub>
                </m:sSub>
                <m:r>
                  <w:rPr>
                    <w:rFonts w:ascii="Cambria Math" w:eastAsia="宋体" w:hAnsi="Cambria Math"/>
                    <w:szCs w:val="22"/>
                  </w:rPr>
                  <m:t>=</m:t>
                </m:r>
                <m:sSub>
                  <m:sSubPr>
                    <m:ctrlPr>
                      <w:rPr>
                        <w:rFonts w:ascii="Cambria Math" w:eastAsia="宋体" w:hAnsi="Cambria Math"/>
                        <w:i/>
                        <w:szCs w:val="22"/>
                      </w:rPr>
                    </m:ctrlPr>
                  </m:sSubPr>
                  <m:e>
                    <m:r>
                      <w:rPr>
                        <w:rFonts w:ascii="Cambria Math" w:eastAsia="宋体" w:hAnsi="Cambria Math"/>
                        <w:szCs w:val="22"/>
                      </w:rPr>
                      <m:t>β</m:t>
                    </m:r>
                  </m:e>
                  <m:sub>
                    <m:r>
                      <w:rPr>
                        <w:rFonts w:ascii="Cambria Math" w:eastAsia="宋体" w:hAnsi="Cambria Math"/>
                        <w:szCs w:val="22"/>
                      </w:rPr>
                      <m:t>0</m:t>
                    </m:r>
                  </m:sub>
                </m:sSub>
                <m:r>
                  <w:rPr>
                    <w:rFonts w:ascii="Cambria Math" w:eastAsia="宋体" w:hAnsi="Cambria Math"/>
                    <w:szCs w:val="22"/>
                  </w:rPr>
                  <m:t>+</m:t>
                </m:r>
                <m:sSub>
                  <m:sSubPr>
                    <m:ctrlPr>
                      <w:rPr>
                        <w:rFonts w:ascii="Cambria Math" w:eastAsia="宋体" w:hAnsi="Cambria Math"/>
                        <w:i/>
                        <w:szCs w:val="22"/>
                      </w:rPr>
                    </m:ctrlPr>
                  </m:sSubPr>
                  <m:e>
                    <m:r>
                      <w:rPr>
                        <w:rFonts w:ascii="Cambria Math" w:eastAsia="宋体" w:hAnsi="Cambria Math"/>
                        <w:szCs w:val="22"/>
                      </w:rPr>
                      <m:t>β</m:t>
                    </m:r>
                  </m:e>
                  <m:sub>
                    <m:r>
                      <w:rPr>
                        <w:rFonts w:ascii="Cambria Math" w:eastAsia="宋体" w:hAnsi="Cambria Math"/>
                        <w:szCs w:val="22"/>
                      </w:rPr>
                      <m:t>1</m:t>
                    </m:r>
                  </m:sub>
                </m:sSub>
                <m:sSub>
                  <m:sSubPr>
                    <m:ctrlPr>
                      <w:rPr>
                        <w:rFonts w:ascii="Cambria Math" w:eastAsia="宋体" w:hAnsi="Cambria Math"/>
                        <w:i/>
                        <w:szCs w:val="22"/>
                      </w:rPr>
                    </m:ctrlPr>
                  </m:sSubPr>
                  <m:e>
                    <m:r>
                      <w:rPr>
                        <w:rFonts w:ascii="Cambria Math" w:eastAsia="宋体" w:hAnsi="Cambria Math"/>
                        <w:szCs w:val="22"/>
                      </w:rPr>
                      <m:t>INQ</m:t>
                    </m:r>
                  </m:e>
                  <m:sub>
                    <m:r>
                      <w:rPr>
                        <w:rFonts w:ascii="Cambria Math" w:eastAsia="宋体" w:hAnsi="Cambria Math"/>
                        <w:szCs w:val="22"/>
                      </w:rPr>
                      <m:t>t-1</m:t>
                    </m:r>
                  </m:sub>
                </m:sSub>
                <m:r>
                  <w:rPr>
                    <w:rFonts w:ascii="Cambria Math" w:eastAsia="宋体" w:hAnsi="Cambria Math"/>
                    <w:szCs w:val="22"/>
                  </w:rPr>
                  <m:t>+</m:t>
                </m:r>
                <m:sSub>
                  <m:sSubPr>
                    <m:ctrlPr>
                      <w:rPr>
                        <w:rFonts w:ascii="Cambria Math" w:eastAsia="宋体" w:hAnsi="Cambria Math"/>
                        <w:i/>
                        <w:szCs w:val="22"/>
                      </w:rPr>
                    </m:ctrlPr>
                  </m:sSubPr>
                  <m:e>
                    <m:r>
                      <w:rPr>
                        <w:rFonts w:ascii="Cambria Math" w:eastAsia="宋体" w:hAnsi="Cambria Math"/>
                        <w:szCs w:val="22"/>
                      </w:rPr>
                      <m:t>β</m:t>
                    </m:r>
                  </m:e>
                  <m:sub>
                    <m:r>
                      <w:rPr>
                        <w:rFonts w:ascii="Cambria Math" w:eastAsia="宋体" w:hAnsi="Cambria Math"/>
                        <w:szCs w:val="22"/>
                      </w:rPr>
                      <m:t>2</m:t>
                    </m:r>
                  </m:sub>
                </m:sSub>
                <m:sSub>
                  <m:sSubPr>
                    <m:ctrlPr>
                      <w:rPr>
                        <w:rFonts w:ascii="Cambria Math" w:eastAsia="宋体" w:hAnsi="Cambria Math"/>
                        <w:i/>
                        <w:szCs w:val="22"/>
                      </w:rPr>
                    </m:ctrlPr>
                  </m:sSubPr>
                  <m:e>
                    <m:r>
                      <w:rPr>
                        <w:rFonts w:ascii="Cambria Math" w:eastAsia="宋体" w:hAnsi="Cambria Math"/>
                        <w:szCs w:val="22"/>
                      </w:rPr>
                      <m:t>GDP</m:t>
                    </m:r>
                  </m:e>
                  <m:sub>
                    <m:r>
                      <w:rPr>
                        <w:rFonts w:ascii="Cambria Math" w:eastAsia="宋体" w:hAnsi="Cambria Math"/>
                        <w:szCs w:val="22"/>
                      </w:rPr>
                      <m:t>t-1</m:t>
                    </m:r>
                  </m:sub>
                </m:sSub>
                <m:r>
                  <w:rPr>
                    <w:rFonts w:ascii="Cambria Math" w:eastAsia="宋体" w:hAnsi="Cambria Math"/>
                    <w:szCs w:val="22"/>
                  </w:rPr>
                  <m:t>+</m:t>
                </m:r>
                <m:sSub>
                  <m:sSubPr>
                    <m:ctrlPr>
                      <w:rPr>
                        <w:rFonts w:ascii="Cambria Math" w:eastAsia="宋体" w:hAnsi="Cambria Math"/>
                        <w:i/>
                        <w:szCs w:val="22"/>
                      </w:rPr>
                    </m:ctrlPr>
                  </m:sSubPr>
                  <m:e>
                    <m:r>
                      <w:rPr>
                        <w:rFonts w:ascii="Cambria Math" w:eastAsia="宋体" w:hAnsi="Cambria Math"/>
                        <w:szCs w:val="22"/>
                      </w:rPr>
                      <m:t>β</m:t>
                    </m:r>
                  </m:e>
                  <m:sub>
                    <m:r>
                      <w:rPr>
                        <w:rFonts w:ascii="Cambria Math" w:eastAsia="宋体" w:hAnsi="Cambria Math"/>
                        <w:szCs w:val="22"/>
                      </w:rPr>
                      <m:t>3</m:t>
                    </m:r>
                  </m:sub>
                </m:sSub>
                <m:sSub>
                  <m:sSubPr>
                    <m:ctrlPr>
                      <w:rPr>
                        <w:rFonts w:ascii="Cambria Math" w:eastAsia="宋体" w:hAnsi="Cambria Math"/>
                        <w:i/>
                        <w:szCs w:val="22"/>
                      </w:rPr>
                    </m:ctrlPr>
                  </m:sSubPr>
                  <m:e>
                    <m:r>
                      <w:rPr>
                        <w:rFonts w:ascii="Cambria Math" w:eastAsia="宋体" w:hAnsi="Cambria Math"/>
                        <w:szCs w:val="22"/>
                      </w:rPr>
                      <m:t>EDGDP</m:t>
                    </m:r>
                  </m:e>
                  <m:sub>
                    <m:r>
                      <w:rPr>
                        <w:rFonts w:ascii="Cambria Math" w:eastAsia="宋体" w:hAnsi="Cambria Math"/>
                        <w:szCs w:val="22"/>
                      </w:rPr>
                      <m:t>t-1</m:t>
                    </m:r>
                  </m:sub>
                </m:sSub>
                <m:r>
                  <w:rPr>
                    <w:rFonts w:ascii="Cambria Math" w:eastAsia="宋体" w:hAnsi="Cambria Math"/>
                    <w:szCs w:val="22"/>
                  </w:rPr>
                  <m:t>+</m:t>
                </m:r>
                <m:sSub>
                  <m:sSubPr>
                    <m:ctrlPr>
                      <w:rPr>
                        <w:rFonts w:ascii="Cambria Math" w:eastAsia="宋体" w:hAnsi="Cambria Math"/>
                        <w:i/>
                        <w:szCs w:val="22"/>
                      </w:rPr>
                    </m:ctrlPr>
                  </m:sSubPr>
                  <m:e>
                    <m:r>
                      <w:rPr>
                        <w:rFonts w:ascii="Cambria Math" w:eastAsia="宋体" w:hAnsi="Cambria Math"/>
                        <w:szCs w:val="22"/>
                      </w:rPr>
                      <m:t>β</m:t>
                    </m:r>
                  </m:e>
                  <m:sub>
                    <m:r>
                      <w:rPr>
                        <w:rFonts w:ascii="Cambria Math" w:eastAsia="宋体" w:hAnsi="Cambria Math"/>
                        <w:szCs w:val="22"/>
                      </w:rPr>
                      <m:t>4</m:t>
                    </m:r>
                  </m:sub>
                </m:sSub>
                <m:sSub>
                  <m:sSubPr>
                    <m:ctrlPr>
                      <w:rPr>
                        <w:rFonts w:ascii="Cambria Math" w:eastAsia="宋体" w:hAnsi="Cambria Math"/>
                        <w:i/>
                        <w:szCs w:val="22"/>
                      </w:rPr>
                    </m:ctrlPr>
                  </m:sSubPr>
                  <m:e>
                    <m:r>
                      <w:rPr>
                        <w:rFonts w:ascii="Cambria Math" w:eastAsia="宋体" w:hAnsi="Cambria Math"/>
                        <w:szCs w:val="22"/>
                      </w:rPr>
                      <m:t>GOVEF</m:t>
                    </m:r>
                  </m:e>
                  <m:sub>
                    <m:r>
                      <w:rPr>
                        <w:rFonts w:ascii="Cambria Math" w:eastAsia="宋体" w:hAnsi="Cambria Math"/>
                        <w:szCs w:val="22"/>
                      </w:rPr>
                      <m:t>t-1</m:t>
                    </m:r>
                  </m:sub>
                </m:sSub>
                <m:r>
                  <w:rPr>
                    <w:rFonts w:ascii="Cambria Math" w:eastAsia="宋体" w:hAnsi="Cambria Math"/>
                    <w:szCs w:val="22"/>
                  </w:rPr>
                  <m:t>+</m:t>
                </m:r>
                <m:nary>
                  <m:naryPr>
                    <m:chr m:val="∑"/>
                    <m:limLoc m:val="undOvr"/>
                    <m:ctrlPr>
                      <w:rPr>
                        <w:rFonts w:ascii="Cambria Math" w:eastAsia="宋体" w:hAnsi="Cambria Math"/>
                        <w:i/>
                        <w:szCs w:val="22"/>
                      </w:rPr>
                    </m:ctrlPr>
                  </m:naryPr>
                  <m:sub>
                    <m:r>
                      <w:rPr>
                        <w:rFonts w:ascii="Cambria Math" w:eastAsia="宋体" w:hAnsi="Cambria Math"/>
                        <w:szCs w:val="22"/>
                      </w:rPr>
                      <m:t>j=1</m:t>
                    </m:r>
                  </m:sub>
                  <m:sup>
                    <m:r>
                      <w:rPr>
                        <w:rFonts w:ascii="Cambria Math" w:eastAsia="宋体" w:hAnsi="Cambria Math"/>
                        <w:szCs w:val="22"/>
                      </w:rPr>
                      <m:t>p</m:t>
                    </m:r>
                  </m:sup>
                  <m:e>
                    <m:sSub>
                      <m:sSubPr>
                        <m:ctrlPr>
                          <w:rPr>
                            <w:rFonts w:ascii="Cambria Math" w:eastAsia="宋体" w:hAnsi="Cambria Math"/>
                            <w:i/>
                            <w:szCs w:val="22"/>
                          </w:rPr>
                        </m:ctrlPr>
                      </m:sSubPr>
                      <m:e>
                        <m:r>
                          <w:rPr>
                            <w:rFonts w:ascii="Cambria Math" w:eastAsia="宋体" w:hAnsi="Cambria Math"/>
                            <w:szCs w:val="22"/>
                          </w:rPr>
                          <m:t>π</m:t>
                        </m:r>
                      </m:e>
                      <m:sub>
                        <m:r>
                          <w:rPr>
                            <w:rFonts w:ascii="Cambria Math" w:eastAsia="宋体" w:hAnsi="Cambria Math"/>
                            <w:szCs w:val="22"/>
                          </w:rPr>
                          <m:t>i2</m:t>
                        </m:r>
                      </m:sub>
                    </m:sSub>
                    <m:sSub>
                      <m:sSubPr>
                        <m:ctrlPr>
                          <w:rPr>
                            <w:rFonts w:ascii="Cambria Math" w:eastAsia="宋体" w:hAnsi="Cambria Math"/>
                            <w:i/>
                            <w:szCs w:val="22"/>
                          </w:rPr>
                        </m:ctrlPr>
                      </m:sSubPr>
                      <m:e>
                        <m:r>
                          <w:rPr>
                            <w:rFonts w:ascii="Cambria Math" w:eastAsia="宋体" w:hAnsi="Cambria Math"/>
                            <w:szCs w:val="22"/>
                          </w:rPr>
                          <m:t>∆INQ</m:t>
                        </m:r>
                      </m:e>
                      <m:sub>
                        <m:r>
                          <w:rPr>
                            <w:rFonts w:ascii="Cambria Math" w:eastAsia="宋体" w:hAnsi="Cambria Math"/>
                            <w:szCs w:val="22"/>
                          </w:rPr>
                          <m:t>t-j</m:t>
                        </m:r>
                      </m:sub>
                    </m:sSub>
                  </m:e>
                </m:nary>
                <m:r>
                  <w:rPr>
                    <w:rFonts w:ascii="Cambria Math" w:eastAsia="宋体" w:hAnsi="Cambria Math"/>
                    <w:szCs w:val="22"/>
                  </w:rPr>
                  <m:t>+</m:t>
                </m:r>
                <m:nary>
                  <m:naryPr>
                    <m:chr m:val="∑"/>
                    <m:limLoc m:val="undOvr"/>
                    <m:ctrlPr>
                      <w:rPr>
                        <w:rFonts w:ascii="Cambria Math" w:eastAsia="宋体" w:hAnsi="Cambria Math"/>
                        <w:i/>
                        <w:szCs w:val="22"/>
                      </w:rPr>
                    </m:ctrlPr>
                  </m:naryPr>
                  <m:sub>
                    <m:r>
                      <w:rPr>
                        <w:rFonts w:ascii="Cambria Math" w:eastAsia="宋体" w:hAnsi="Cambria Math"/>
                        <w:szCs w:val="22"/>
                      </w:rPr>
                      <m:t>j=0</m:t>
                    </m:r>
                  </m:sub>
                  <m:sup>
                    <m:r>
                      <w:rPr>
                        <w:rFonts w:ascii="Cambria Math" w:eastAsia="宋体" w:hAnsi="Cambria Math"/>
                        <w:szCs w:val="22"/>
                      </w:rPr>
                      <m:t>p</m:t>
                    </m:r>
                  </m:sup>
                  <m:e>
                    <m:sSub>
                      <m:sSubPr>
                        <m:ctrlPr>
                          <w:rPr>
                            <w:rFonts w:ascii="Cambria Math" w:eastAsia="宋体" w:hAnsi="Cambria Math"/>
                            <w:i/>
                            <w:szCs w:val="22"/>
                          </w:rPr>
                        </m:ctrlPr>
                      </m:sSubPr>
                      <m:e>
                        <m:r>
                          <w:rPr>
                            <w:rFonts w:ascii="Cambria Math" w:eastAsia="宋体" w:hAnsi="Cambria Math"/>
                            <w:szCs w:val="22"/>
                          </w:rPr>
                          <m:t>σ</m:t>
                        </m:r>
                      </m:e>
                      <m:sub>
                        <m:r>
                          <w:rPr>
                            <w:rFonts w:ascii="Cambria Math" w:eastAsia="宋体" w:hAnsi="Cambria Math"/>
                            <w:szCs w:val="22"/>
                          </w:rPr>
                          <m:t>i2</m:t>
                        </m:r>
                      </m:sub>
                    </m:sSub>
                    <m:sSub>
                      <m:sSubPr>
                        <m:ctrlPr>
                          <w:rPr>
                            <w:rFonts w:ascii="Cambria Math" w:eastAsia="宋体" w:hAnsi="Cambria Math"/>
                            <w:i/>
                            <w:szCs w:val="22"/>
                          </w:rPr>
                        </m:ctrlPr>
                      </m:sSubPr>
                      <m:e>
                        <m:r>
                          <w:rPr>
                            <w:rFonts w:ascii="Cambria Math" w:eastAsia="宋体" w:hAnsi="Cambria Math"/>
                            <w:szCs w:val="22"/>
                          </w:rPr>
                          <m:t>∆GDP</m:t>
                        </m:r>
                      </m:e>
                      <m:sub>
                        <m:r>
                          <w:rPr>
                            <w:rFonts w:ascii="Cambria Math" w:eastAsia="宋体" w:hAnsi="Cambria Math"/>
                            <w:szCs w:val="22"/>
                          </w:rPr>
                          <m:t>t-j</m:t>
                        </m:r>
                      </m:sub>
                    </m:sSub>
                  </m:e>
                </m:nary>
                <m:r>
                  <w:rPr>
                    <w:rFonts w:ascii="Cambria Math" w:eastAsia="宋体" w:hAnsi="Cambria Math"/>
                    <w:szCs w:val="22"/>
                  </w:rPr>
                  <m:t>+</m:t>
                </m:r>
                <m:nary>
                  <m:naryPr>
                    <m:chr m:val="∑"/>
                    <m:limLoc m:val="undOvr"/>
                    <m:ctrlPr>
                      <w:rPr>
                        <w:rFonts w:ascii="Cambria Math" w:eastAsia="宋体" w:hAnsi="Cambria Math"/>
                        <w:i/>
                        <w:szCs w:val="22"/>
                      </w:rPr>
                    </m:ctrlPr>
                  </m:naryPr>
                  <m:sub>
                    <m:r>
                      <w:rPr>
                        <w:rFonts w:ascii="Cambria Math" w:eastAsia="宋体" w:hAnsi="Cambria Math"/>
                        <w:szCs w:val="22"/>
                      </w:rPr>
                      <m:t>j=0</m:t>
                    </m:r>
                  </m:sub>
                  <m:sup>
                    <m:r>
                      <w:rPr>
                        <w:rFonts w:ascii="Cambria Math" w:eastAsia="宋体" w:hAnsi="Cambria Math"/>
                        <w:szCs w:val="22"/>
                      </w:rPr>
                      <m:t>p</m:t>
                    </m:r>
                  </m:sup>
                  <m:e>
                    <m:sSub>
                      <m:sSubPr>
                        <m:ctrlPr>
                          <w:rPr>
                            <w:rFonts w:ascii="Cambria Math" w:eastAsia="宋体" w:hAnsi="Cambria Math"/>
                            <w:i/>
                            <w:szCs w:val="22"/>
                          </w:rPr>
                        </m:ctrlPr>
                      </m:sSubPr>
                      <m:e>
                        <m:r>
                          <w:rPr>
                            <w:rFonts w:ascii="Cambria Math" w:eastAsia="宋体" w:hAnsi="Cambria Math"/>
                            <w:szCs w:val="22"/>
                          </w:rPr>
                          <m:t>τ</m:t>
                        </m:r>
                      </m:e>
                      <m:sub>
                        <m:r>
                          <w:rPr>
                            <w:rFonts w:ascii="Cambria Math" w:eastAsia="宋体" w:hAnsi="Cambria Math"/>
                            <w:szCs w:val="22"/>
                          </w:rPr>
                          <m:t>i2</m:t>
                        </m:r>
                      </m:sub>
                    </m:sSub>
                    <m:sSub>
                      <m:sSubPr>
                        <m:ctrlPr>
                          <w:rPr>
                            <w:rFonts w:ascii="Cambria Math" w:eastAsia="宋体" w:hAnsi="Cambria Math"/>
                            <w:i/>
                            <w:szCs w:val="22"/>
                          </w:rPr>
                        </m:ctrlPr>
                      </m:sSubPr>
                      <m:e>
                        <m:r>
                          <w:rPr>
                            <w:rFonts w:ascii="Cambria Math" w:eastAsia="宋体" w:hAnsi="Cambria Math"/>
                            <w:szCs w:val="22"/>
                          </w:rPr>
                          <m:t>∆EDGDP</m:t>
                        </m:r>
                      </m:e>
                      <m:sub>
                        <m:r>
                          <w:rPr>
                            <w:rFonts w:ascii="Cambria Math" w:eastAsia="宋体" w:hAnsi="Cambria Math"/>
                            <w:szCs w:val="22"/>
                          </w:rPr>
                          <m:t>t-j</m:t>
                        </m:r>
                      </m:sub>
                    </m:sSub>
                  </m:e>
                </m:nary>
                <m:r>
                  <w:rPr>
                    <w:rFonts w:ascii="Cambria Math" w:eastAsia="宋体" w:hAnsi="Cambria Math"/>
                    <w:szCs w:val="22"/>
                  </w:rPr>
                  <m:t>+</m:t>
                </m:r>
                <m:nary>
                  <m:naryPr>
                    <m:chr m:val="∑"/>
                    <m:limLoc m:val="undOvr"/>
                    <m:ctrlPr>
                      <w:rPr>
                        <w:rFonts w:ascii="Cambria Math" w:eastAsia="宋体" w:hAnsi="Cambria Math"/>
                        <w:i/>
                        <w:szCs w:val="22"/>
                      </w:rPr>
                    </m:ctrlPr>
                  </m:naryPr>
                  <m:sub>
                    <m:r>
                      <w:rPr>
                        <w:rFonts w:ascii="Cambria Math" w:eastAsia="宋体" w:hAnsi="Cambria Math"/>
                        <w:szCs w:val="22"/>
                      </w:rPr>
                      <m:t>j=0</m:t>
                    </m:r>
                  </m:sub>
                  <m:sup>
                    <m:r>
                      <w:rPr>
                        <w:rFonts w:ascii="Cambria Math" w:eastAsia="宋体" w:hAnsi="Cambria Math"/>
                        <w:szCs w:val="22"/>
                      </w:rPr>
                      <m:t>p</m:t>
                    </m:r>
                  </m:sup>
                  <m:e>
                    <m:sSub>
                      <m:sSubPr>
                        <m:ctrlPr>
                          <w:rPr>
                            <w:rFonts w:ascii="Cambria Math" w:eastAsia="宋体" w:hAnsi="Cambria Math"/>
                            <w:i/>
                            <w:szCs w:val="22"/>
                          </w:rPr>
                        </m:ctrlPr>
                      </m:sSubPr>
                      <m:e>
                        <m:r>
                          <w:rPr>
                            <w:rFonts w:ascii="Cambria Math" w:eastAsia="宋体" w:hAnsi="Cambria Math"/>
                            <w:szCs w:val="22"/>
                          </w:rPr>
                          <m:t>δ</m:t>
                        </m:r>
                      </m:e>
                      <m:sub>
                        <m:r>
                          <w:rPr>
                            <w:rFonts w:ascii="Cambria Math" w:eastAsia="宋体" w:hAnsi="Cambria Math"/>
                            <w:szCs w:val="22"/>
                          </w:rPr>
                          <m:t>i2</m:t>
                        </m:r>
                      </m:sub>
                    </m:sSub>
                    <m:sSub>
                      <m:sSubPr>
                        <m:ctrlPr>
                          <w:rPr>
                            <w:rFonts w:ascii="Cambria Math" w:eastAsia="宋体" w:hAnsi="Cambria Math"/>
                            <w:i/>
                            <w:szCs w:val="22"/>
                          </w:rPr>
                        </m:ctrlPr>
                      </m:sSubPr>
                      <m:e>
                        <m:r>
                          <w:rPr>
                            <w:rFonts w:ascii="Cambria Math" w:eastAsia="宋体" w:hAnsi="Cambria Math"/>
                            <w:szCs w:val="22"/>
                          </w:rPr>
                          <m:t>∆GOVEF</m:t>
                        </m:r>
                      </m:e>
                      <m:sub>
                        <m:r>
                          <w:rPr>
                            <w:rFonts w:ascii="Cambria Math" w:eastAsia="宋体" w:hAnsi="Cambria Math"/>
                            <w:szCs w:val="22"/>
                          </w:rPr>
                          <m:t>t-j</m:t>
                        </m:r>
                      </m:sub>
                    </m:sSub>
                  </m:e>
                </m:nary>
                <m:r>
                  <w:rPr>
                    <w:rFonts w:ascii="Cambria Math" w:eastAsia="宋体" w:hAnsi="Cambria Math"/>
                    <w:szCs w:val="22"/>
                  </w:rPr>
                  <m:t>+</m:t>
                </m:r>
                <m:sSub>
                  <m:sSubPr>
                    <m:ctrlPr>
                      <w:rPr>
                        <w:rFonts w:ascii="Cambria Math" w:eastAsia="宋体" w:hAnsi="Cambria Math"/>
                        <w:i/>
                        <w:szCs w:val="22"/>
                      </w:rPr>
                    </m:ctrlPr>
                  </m:sSubPr>
                  <m:e>
                    <m:r>
                      <w:rPr>
                        <w:rFonts w:ascii="Cambria Math" w:eastAsia="宋体" w:hAnsi="Cambria Math"/>
                        <w:szCs w:val="22"/>
                      </w:rPr>
                      <m:t>∅</m:t>
                    </m:r>
                  </m:e>
                  <m:sub>
                    <m:r>
                      <w:rPr>
                        <w:rFonts w:ascii="Cambria Math" w:eastAsia="宋体" w:hAnsi="Cambria Math"/>
                        <w:szCs w:val="22"/>
                      </w:rPr>
                      <m:t>2</m:t>
                    </m:r>
                  </m:sub>
                </m:sSub>
                <m:sSub>
                  <m:sSubPr>
                    <m:ctrlPr>
                      <w:rPr>
                        <w:rFonts w:ascii="Cambria Math" w:eastAsia="宋体" w:hAnsi="Cambria Math"/>
                        <w:i/>
                        <w:szCs w:val="22"/>
                      </w:rPr>
                    </m:ctrlPr>
                  </m:sSubPr>
                  <m:e>
                    <m:r>
                      <w:rPr>
                        <w:rFonts w:ascii="Cambria Math" w:eastAsia="宋体" w:hAnsi="Cambria Math"/>
                        <w:szCs w:val="22"/>
                      </w:rPr>
                      <m:t>ecm</m:t>
                    </m:r>
                  </m:e>
                  <m:sub>
                    <m:r>
                      <w:rPr>
                        <w:rFonts w:ascii="Cambria Math" w:eastAsia="宋体" w:hAnsi="Cambria Math"/>
                        <w:szCs w:val="22"/>
                      </w:rPr>
                      <m:t>t-1</m:t>
                    </m:r>
                  </m:sub>
                </m:sSub>
                <m:r>
                  <w:rPr>
                    <w:rFonts w:ascii="Cambria Math" w:eastAsia="宋体" w:hAnsi="Cambria Math"/>
                    <w:szCs w:val="22"/>
                  </w:rPr>
                  <m:t>+</m:t>
                </m:r>
                <m:sSub>
                  <m:sSubPr>
                    <m:ctrlPr>
                      <w:rPr>
                        <w:rFonts w:ascii="Cambria Math" w:eastAsia="宋体" w:hAnsi="Cambria Math"/>
                        <w:i/>
                        <w:szCs w:val="22"/>
                      </w:rPr>
                    </m:ctrlPr>
                  </m:sSubPr>
                  <m:e>
                    <m:r>
                      <w:rPr>
                        <w:rFonts w:ascii="Cambria Math" w:eastAsia="宋体" w:hAnsi="Cambria Math"/>
                        <w:szCs w:val="22"/>
                      </w:rPr>
                      <m:t>ε</m:t>
                    </m:r>
                  </m:e>
                  <m:sub>
                    <m:r>
                      <w:rPr>
                        <w:rFonts w:ascii="Cambria Math" w:eastAsia="宋体" w:hAnsi="Cambria Math"/>
                        <w:szCs w:val="22"/>
                      </w:rPr>
                      <m:t>t2</m:t>
                    </m:r>
                  </m:sub>
                </m:sSub>
                <m:r>
                  <w:rPr>
                    <w:rFonts w:ascii="Cambria Math" w:eastAsia="宋体" w:hAnsi="Cambria Math"/>
                    <w:szCs w:val="22"/>
                  </w:rPr>
                  <m:t xml:space="preserve"> (Equ.4)</m:t>
                </m:r>
              </m:oMath>
            </m:oMathPara>
          </w:p>
        </w:tc>
        <w:tc>
          <w:tcPr>
            <w:tcW w:w="261" w:type="dxa"/>
            <w:noWrap/>
            <w:tcMar>
              <w:left w:w="0" w:type="dxa"/>
              <w:right w:w="0" w:type="dxa"/>
            </w:tcMar>
            <w:vAlign w:val="center"/>
          </w:tcPr>
          <w:p w14:paraId="7E4975BE" w14:textId="77777777" w:rsidR="00BF0F78" w:rsidRPr="009B1BB3" w:rsidRDefault="00000000">
            <w:pPr>
              <w:overflowPunct w:val="0"/>
              <w:adjustRightInd w:val="0"/>
              <w:snapToGrid w:val="0"/>
              <w:spacing w:before="120" w:after="120" w:line="288" w:lineRule="auto"/>
              <w:jc w:val="right"/>
              <w:rPr>
                <w:rFonts w:eastAsia="宋体"/>
                <w:bCs/>
                <w:kern w:val="2"/>
                <w:lang w:eastAsia="zh-CN"/>
              </w:rPr>
            </w:pPr>
            <w:r w:rsidRPr="009B1BB3">
              <w:rPr>
                <w:rFonts w:eastAsia="宋体"/>
                <w:bCs/>
                <w:kern w:val="2"/>
                <w:lang w:eastAsia="zh-CN"/>
              </w:rPr>
              <w:t>(4)</w:t>
            </w:r>
          </w:p>
        </w:tc>
      </w:tr>
    </w:tbl>
    <w:p w14:paraId="2C9B1CC9" w14:textId="77777777" w:rsidR="00BF0F78" w:rsidRPr="009B1BB3" w:rsidRDefault="00000000">
      <w:pPr>
        <w:widowControl w:val="0"/>
        <w:overflowPunct w:val="0"/>
        <w:autoSpaceDE w:val="0"/>
        <w:autoSpaceDN w:val="0"/>
        <w:adjustRightInd w:val="0"/>
        <w:snapToGrid w:val="0"/>
        <w:spacing w:after="0" w:line="288" w:lineRule="auto"/>
        <w:ind w:left="2948"/>
        <w:jc w:val="both"/>
        <w:rPr>
          <w:rFonts w:eastAsia="宋体"/>
          <w:szCs w:val="22"/>
        </w:rPr>
      </w:pPr>
      <w:r w:rsidRPr="009B1BB3">
        <w:rPr>
          <w:rFonts w:eastAsia="宋体"/>
          <w:szCs w:val="22"/>
        </w:rPr>
        <w:t xml:space="preserve">where the error correction mechanism (ECM) is the speed of adjustment coefficient, </w:t>
      </w:r>
      <w:proofErr w:type="gramStart"/>
      <w:r w:rsidRPr="009B1BB3">
        <w:rPr>
          <w:rFonts w:eastAsia="宋体"/>
          <w:szCs w:val="22"/>
        </w:rPr>
        <w:t>showing the time</w:t>
      </w:r>
      <w:proofErr w:type="gramEnd"/>
      <w:r w:rsidRPr="009B1BB3">
        <w:rPr>
          <w:rFonts w:eastAsia="宋体"/>
          <w:szCs w:val="22"/>
        </w:rPr>
        <w:t xml:space="preserve"> it takes the economy to correct from short-term distortion to long-term equilibrium.</w:t>
      </w:r>
    </w:p>
    <w:p w14:paraId="46936EAA" w14:textId="77777777" w:rsidR="00BF0F78" w:rsidRPr="009B1BB3" w:rsidRDefault="00000000">
      <w:pPr>
        <w:widowControl w:val="0"/>
        <w:overflowPunct w:val="0"/>
        <w:adjustRightInd w:val="0"/>
        <w:snapToGrid w:val="0"/>
        <w:spacing w:before="240" w:after="120" w:line="288" w:lineRule="auto"/>
        <w:ind w:left="2948"/>
        <w:rPr>
          <w:b/>
          <w:sz w:val="26"/>
        </w:rPr>
      </w:pPr>
      <w:r w:rsidRPr="009B1BB3">
        <w:rPr>
          <w:b/>
          <w:sz w:val="26"/>
        </w:rPr>
        <w:t>4. Results and discussion of findings</w:t>
      </w:r>
    </w:p>
    <w:p w14:paraId="2109500B" w14:textId="77777777" w:rsidR="00BF0F78" w:rsidRPr="009B1BB3" w:rsidRDefault="00000000">
      <w:pPr>
        <w:widowControl w:val="0"/>
        <w:overflowPunct w:val="0"/>
        <w:adjustRightInd w:val="0"/>
        <w:snapToGrid w:val="0"/>
        <w:spacing w:before="240" w:after="60" w:line="288" w:lineRule="auto"/>
        <w:ind w:left="2948"/>
        <w:rPr>
          <w:b/>
          <w:sz w:val="24"/>
        </w:rPr>
      </w:pPr>
      <w:r w:rsidRPr="009B1BB3">
        <w:rPr>
          <w:b/>
          <w:sz w:val="24"/>
        </w:rPr>
        <w:t>4.1. Descriptive and correlation analyses</w:t>
      </w:r>
    </w:p>
    <w:p w14:paraId="1343DD9A" w14:textId="1D2E9049" w:rsidR="00BF0F78" w:rsidRPr="009B1BB3" w:rsidRDefault="008E0C79" w:rsidP="008E0C79">
      <w:pPr>
        <w:widowControl w:val="0"/>
        <w:overflowPunct w:val="0"/>
        <w:autoSpaceDE w:val="0"/>
        <w:autoSpaceDN w:val="0"/>
        <w:adjustRightInd w:val="0"/>
        <w:snapToGrid w:val="0"/>
        <w:spacing w:after="0" w:line="288" w:lineRule="auto"/>
        <w:ind w:left="2948" w:firstLine="442"/>
        <w:jc w:val="both"/>
        <w:rPr>
          <w:rFonts w:eastAsia="宋体" w:hint="eastAsia"/>
          <w:szCs w:val="22"/>
          <w:lang w:eastAsia="zh-CN"/>
        </w:rPr>
      </w:pPr>
      <w:r w:rsidRPr="008E0C79">
        <w:rPr>
          <w:rFonts w:eastAsia="宋体"/>
          <w:szCs w:val="22"/>
        </w:rPr>
        <w:t xml:space="preserve">Contained in </w:t>
      </w:r>
      <w:r w:rsidRPr="008E0C79">
        <w:rPr>
          <w:rFonts w:eastAsia="宋体"/>
          <w:b/>
          <w:bCs/>
          <w:szCs w:val="22"/>
        </w:rPr>
        <w:t>Table 2</w:t>
      </w:r>
      <w:r w:rsidRPr="008E0C79">
        <w:rPr>
          <w:rFonts w:eastAsia="宋体"/>
          <w:szCs w:val="22"/>
        </w:rPr>
        <w:t xml:space="preserve"> are the descriptive statistics for the study variables. The mean PGI for the study is revealed as 17.7, indicating that the prevalence of poverty between 1990 and 2022 has not been severe. However, the inequality measure (Gini coefficient) shows an average of 40.1, suggesting a high level of income inequality in the country. Furthermore, the growth rate of GDP per capita has a negative mean of approximately −1.3%. This result indicates that average productivity growth for the economy has been retrogressing between 1990 and 2022. The external debt-to-GDP ratio averaged 32.2% and is below the 40% benchmark for emerging and developing countries [63]. Governance effectiveness for the country has been weak, as captured by the mean value of -0.98 for the study period. This weakness suggests that the citizens may not have been benefiting from the dividends of good governance, which could further worsen the poverty and inequality situation in the country.</w:t>
      </w:r>
    </w:p>
    <w:p w14:paraId="06EBCAE0" w14:textId="77777777" w:rsidR="00800D50" w:rsidRDefault="00800D50">
      <w:pPr>
        <w:widowControl w:val="0"/>
        <w:overflowPunct w:val="0"/>
        <w:adjustRightInd w:val="0"/>
        <w:snapToGrid w:val="0"/>
        <w:spacing w:before="240" w:after="60" w:line="288" w:lineRule="auto"/>
        <w:ind w:left="2948"/>
        <w:jc w:val="center"/>
        <w:rPr>
          <w:b/>
        </w:rPr>
      </w:pPr>
    </w:p>
    <w:p w14:paraId="2D99251A" w14:textId="68E3D192" w:rsidR="00BF0F78" w:rsidRPr="009B1BB3" w:rsidRDefault="00000000">
      <w:pPr>
        <w:widowControl w:val="0"/>
        <w:overflowPunct w:val="0"/>
        <w:adjustRightInd w:val="0"/>
        <w:snapToGrid w:val="0"/>
        <w:spacing w:before="240" w:after="60" w:line="288" w:lineRule="auto"/>
        <w:ind w:left="2948"/>
        <w:jc w:val="center"/>
      </w:pPr>
      <w:r w:rsidRPr="009B1BB3">
        <w:rPr>
          <w:b/>
        </w:rPr>
        <w:lastRenderedPageBreak/>
        <w:t>Table 2.</w:t>
      </w:r>
      <w:r w:rsidRPr="009B1BB3">
        <w:t xml:space="preserve"> Descriptive summary statistics.</w:t>
      </w:r>
    </w:p>
    <w:tbl>
      <w:tblPr>
        <w:tblStyle w:val="15"/>
        <w:tblW w:w="7518" w:type="dxa"/>
        <w:tblInd w:w="2948"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1502"/>
        <w:gridCol w:w="1504"/>
        <w:gridCol w:w="1504"/>
        <w:gridCol w:w="1504"/>
        <w:gridCol w:w="1504"/>
      </w:tblGrid>
      <w:tr w:rsidR="009966AD" w:rsidRPr="00FB4CFF" w14:paraId="479B6D5E" w14:textId="77777777">
        <w:trPr>
          <w:cantSplit/>
        </w:trPr>
        <w:tc>
          <w:tcPr>
            <w:tcW w:w="1502" w:type="dxa"/>
            <w:tcBorders>
              <w:top w:val="single" w:sz="8" w:space="0" w:color="auto"/>
              <w:bottom w:val="single" w:sz="4" w:space="0" w:color="auto"/>
            </w:tcBorders>
            <w:noWrap/>
            <w:vAlign w:val="center"/>
          </w:tcPr>
          <w:p w14:paraId="67312D36" w14:textId="77777777" w:rsidR="00BF0F78" w:rsidRPr="00FB4CFF" w:rsidRDefault="00BF0F78">
            <w:pPr>
              <w:widowControl w:val="0"/>
              <w:overflowPunct w:val="0"/>
              <w:adjustRightInd w:val="0"/>
              <w:snapToGrid w:val="0"/>
              <w:spacing w:after="0" w:line="240" w:lineRule="auto"/>
              <w:rPr>
                <w:rFonts w:ascii="Times New Roman" w:hAnsi="Times New Roman" w:cs="Times New Roman"/>
                <w:b/>
                <w:bCs/>
                <w:sz w:val="18"/>
                <w:szCs w:val="22"/>
              </w:rPr>
            </w:pPr>
          </w:p>
        </w:tc>
        <w:tc>
          <w:tcPr>
            <w:tcW w:w="1503" w:type="dxa"/>
            <w:tcBorders>
              <w:top w:val="single" w:sz="8" w:space="0" w:color="auto"/>
              <w:bottom w:val="single" w:sz="4" w:space="0" w:color="auto"/>
            </w:tcBorders>
            <w:noWrap/>
            <w:vAlign w:val="center"/>
          </w:tcPr>
          <w:p w14:paraId="64A0577E" w14:textId="77777777" w:rsidR="00BF0F78" w:rsidRPr="00FB4CFF" w:rsidRDefault="00000000">
            <w:pPr>
              <w:widowControl w:val="0"/>
              <w:overflowPunct w:val="0"/>
              <w:adjustRightInd w:val="0"/>
              <w:snapToGrid w:val="0"/>
              <w:spacing w:after="0" w:line="240" w:lineRule="auto"/>
              <w:rPr>
                <w:rFonts w:ascii="Times New Roman" w:hAnsi="Times New Roman" w:cs="Times New Roman"/>
                <w:b/>
                <w:bCs/>
                <w:sz w:val="18"/>
                <w:szCs w:val="22"/>
              </w:rPr>
            </w:pPr>
            <w:r w:rsidRPr="00FB4CFF">
              <w:rPr>
                <w:rFonts w:ascii="Times New Roman" w:hAnsi="Times New Roman" w:cs="Times New Roman"/>
                <w:b/>
                <w:bCs/>
                <w:sz w:val="18"/>
                <w:szCs w:val="22"/>
              </w:rPr>
              <w:t>Mean</w:t>
            </w:r>
          </w:p>
        </w:tc>
        <w:tc>
          <w:tcPr>
            <w:tcW w:w="1503" w:type="dxa"/>
            <w:tcBorders>
              <w:top w:val="single" w:sz="8" w:space="0" w:color="auto"/>
              <w:bottom w:val="single" w:sz="4" w:space="0" w:color="auto"/>
            </w:tcBorders>
            <w:noWrap/>
            <w:vAlign w:val="center"/>
          </w:tcPr>
          <w:p w14:paraId="764965AC" w14:textId="77777777" w:rsidR="00BF0F78" w:rsidRPr="00FB4CFF" w:rsidRDefault="00000000">
            <w:pPr>
              <w:widowControl w:val="0"/>
              <w:overflowPunct w:val="0"/>
              <w:adjustRightInd w:val="0"/>
              <w:snapToGrid w:val="0"/>
              <w:spacing w:after="0" w:line="240" w:lineRule="auto"/>
              <w:rPr>
                <w:rFonts w:ascii="Times New Roman" w:hAnsi="Times New Roman" w:cs="Times New Roman"/>
                <w:b/>
                <w:bCs/>
                <w:sz w:val="18"/>
                <w:szCs w:val="22"/>
              </w:rPr>
            </w:pPr>
            <w:r w:rsidRPr="00FB4CFF">
              <w:rPr>
                <w:rFonts w:ascii="Times New Roman" w:hAnsi="Times New Roman" w:cs="Times New Roman"/>
                <w:b/>
                <w:bCs/>
                <w:sz w:val="18"/>
                <w:szCs w:val="22"/>
              </w:rPr>
              <w:t>Max.</w:t>
            </w:r>
          </w:p>
        </w:tc>
        <w:tc>
          <w:tcPr>
            <w:tcW w:w="1503" w:type="dxa"/>
            <w:tcBorders>
              <w:top w:val="single" w:sz="8" w:space="0" w:color="auto"/>
              <w:bottom w:val="single" w:sz="4" w:space="0" w:color="auto"/>
            </w:tcBorders>
            <w:noWrap/>
            <w:vAlign w:val="center"/>
          </w:tcPr>
          <w:p w14:paraId="78CE5CB6" w14:textId="77777777" w:rsidR="00BF0F78" w:rsidRPr="00FB4CFF" w:rsidRDefault="00000000">
            <w:pPr>
              <w:widowControl w:val="0"/>
              <w:overflowPunct w:val="0"/>
              <w:adjustRightInd w:val="0"/>
              <w:snapToGrid w:val="0"/>
              <w:spacing w:after="0" w:line="240" w:lineRule="auto"/>
              <w:rPr>
                <w:rFonts w:ascii="Times New Roman" w:hAnsi="Times New Roman" w:cs="Times New Roman"/>
                <w:b/>
                <w:bCs/>
                <w:sz w:val="18"/>
                <w:szCs w:val="22"/>
              </w:rPr>
            </w:pPr>
            <w:r w:rsidRPr="00FB4CFF">
              <w:rPr>
                <w:rFonts w:ascii="Times New Roman" w:hAnsi="Times New Roman" w:cs="Times New Roman"/>
                <w:b/>
                <w:bCs/>
                <w:sz w:val="18"/>
                <w:szCs w:val="22"/>
              </w:rPr>
              <w:t>Min.</w:t>
            </w:r>
          </w:p>
        </w:tc>
        <w:tc>
          <w:tcPr>
            <w:tcW w:w="1503" w:type="dxa"/>
            <w:tcBorders>
              <w:top w:val="single" w:sz="8" w:space="0" w:color="auto"/>
              <w:bottom w:val="single" w:sz="4" w:space="0" w:color="auto"/>
            </w:tcBorders>
            <w:noWrap/>
            <w:vAlign w:val="center"/>
          </w:tcPr>
          <w:p w14:paraId="1FC79B3E" w14:textId="77777777" w:rsidR="00BF0F78" w:rsidRPr="00FB4CFF" w:rsidRDefault="00000000">
            <w:pPr>
              <w:widowControl w:val="0"/>
              <w:overflowPunct w:val="0"/>
              <w:adjustRightInd w:val="0"/>
              <w:snapToGrid w:val="0"/>
              <w:spacing w:after="0" w:line="240" w:lineRule="auto"/>
              <w:rPr>
                <w:rFonts w:ascii="Times New Roman" w:hAnsi="Times New Roman" w:cs="Times New Roman"/>
                <w:b/>
                <w:bCs/>
                <w:sz w:val="18"/>
                <w:szCs w:val="22"/>
              </w:rPr>
            </w:pPr>
            <w:r w:rsidRPr="00FB4CFF">
              <w:rPr>
                <w:rFonts w:ascii="Times New Roman" w:hAnsi="Times New Roman" w:cs="Times New Roman"/>
                <w:b/>
                <w:bCs/>
                <w:sz w:val="18"/>
                <w:szCs w:val="22"/>
              </w:rPr>
              <w:t>Std. Dev.</w:t>
            </w:r>
          </w:p>
        </w:tc>
      </w:tr>
      <w:tr w:rsidR="009966AD" w:rsidRPr="00FB4CFF" w14:paraId="0C91CFF9" w14:textId="77777777">
        <w:trPr>
          <w:cantSplit/>
        </w:trPr>
        <w:tc>
          <w:tcPr>
            <w:tcW w:w="1502" w:type="dxa"/>
            <w:tcBorders>
              <w:top w:val="single" w:sz="4" w:space="0" w:color="auto"/>
            </w:tcBorders>
            <w:noWrap/>
            <w:vAlign w:val="center"/>
          </w:tcPr>
          <w:p w14:paraId="30BF92CE" w14:textId="77777777" w:rsidR="00BF0F78" w:rsidRPr="00FB4CFF" w:rsidRDefault="00000000">
            <w:pPr>
              <w:widowControl w:val="0"/>
              <w:overflowPunct w:val="0"/>
              <w:adjustRightInd w:val="0"/>
              <w:snapToGrid w:val="0"/>
              <w:spacing w:after="0" w:line="240" w:lineRule="auto"/>
              <w:rPr>
                <w:rFonts w:ascii="Times New Roman" w:hAnsi="Times New Roman" w:cs="Times New Roman"/>
                <w:iCs/>
                <w:sz w:val="18"/>
                <w:szCs w:val="22"/>
              </w:rPr>
            </w:pPr>
            <m:oMathPara>
              <m:oMathParaPr>
                <m:jc m:val="left"/>
              </m:oMathParaPr>
              <m:oMath>
                <m:r>
                  <m:rPr>
                    <m:sty m:val="p"/>
                  </m:rPr>
                  <w:rPr>
                    <w:rFonts w:ascii="Cambria Math" w:hAnsi="Cambria Math" w:cs="Times New Roman"/>
                    <w:sz w:val="18"/>
                    <w:szCs w:val="22"/>
                  </w:rPr>
                  <m:t>PGI</m:t>
                </m:r>
              </m:oMath>
            </m:oMathPara>
          </w:p>
        </w:tc>
        <w:tc>
          <w:tcPr>
            <w:tcW w:w="1503" w:type="dxa"/>
            <w:tcBorders>
              <w:top w:val="single" w:sz="4" w:space="0" w:color="auto"/>
            </w:tcBorders>
            <w:noWrap/>
            <w:vAlign w:val="center"/>
          </w:tcPr>
          <w:p w14:paraId="406FB2A4" w14:textId="77777777" w:rsidR="00BF0F78" w:rsidRPr="00FB4CFF" w:rsidRDefault="00000000">
            <w:pPr>
              <w:widowControl w:val="0"/>
              <w:overflowPunct w:val="0"/>
              <w:adjustRightInd w:val="0"/>
              <w:snapToGrid w:val="0"/>
              <w:spacing w:after="0" w:line="240" w:lineRule="auto"/>
              <w:rPr>
                <w:rFonts w:ascii="Times New Roman" w:hAnsi="Times New Roman" w:cs="Times New Roman"/>
                <w:sz w:val="18"/>
                <w:szCs w:val="22"/>
              </w:rPr>
            </w:pPr>
            <w:r w:rsidRPr="00FB4CFF">
              <w:rPr>
                <w:rFonts w:ascii="Times New Roman" w:hAnsi="Times New Roman" w:cs="Times New Roman"/>
                <w:sz w:val="18"/>
                <w:szCs w:val="22"/>
              </w:rPr>
              <w:t>17.721</w:t>
            </w:r>
          </w:p>
        </w:tc>
        <w:tc>
          <w:tcPr>
            <w:tcW w:w="1503" w:type="dxa"/>
            <w:tcBorders>
              <w:top w:val="single" w:sz="4" w:space="0" w:color="auto"/>
            </w:tcBorders>
            <w:noWrap/>
            <w:vAlign w:val="center"/>
          </w:tcPr>
          <w:p w14:paraId="18251433" w14:textId="77777777" w:rsidR="00BF0F78" w:rsidRPr="00FB4CFF" w:rsidRDefault="00000000">
            <w:pPr>
              <w:widowControl w:val="0"/>
              <w:overflowPunct w:val="0"/>
              <w:adjustRightInd w:val="0"/>
              <w:snapToGrid w:val="0"/>
              <w:spacing w:after="0" w:line="240" w:lineRule="auto"/>
              <w:rPr>
                <w:rFonts w:ascii="Times New Roman" w:hAnsi="Times New Roman" w:cs="Times New Roman"/>
                <w:sz w:val="18"/>
                <w:szCs w:val="22"/>
              </w:rPr>
            </w:pPr>
            <w:r w:rsidRPr="00FB4CFF">
              <w:rPr>
                <w:rFonts w:ascii="Times New Roman" w:hAnsi="Times New Roman" w:cs="Times New Roman"/>
                <w:sz w:val="18"/>
                <w:szCs w:val="22"/>
              </w:rPr>
              <w:t>27.900</w:t>
            </w:r>
          </w:p>
        </w:tc>
        <w:tc>
          <w:tcPr>
            <w:tcW w:w="1503" w:type="dxa"/>
            <w:tcBorders>
              <w:top w:val="single" w:sz="4" w:space="0" w:color="auto"/>
            </w:tcBorders>
            <w:noWrap/>
            <w:vAlign w:val="center"/>
          </w:tcPr>
          <w:p w14:paraId="61849B1A" w14:textId="77777777" w:rsidR="00BF0F78" w:rsidRPr="00FB4CFF" w:rsidRDefault="00000000">
            <w:pPr>
              <w:widowControl w:val="0"/>
              <w:overflowPunct w:val="0"/>
              <w:adjustRightInd w:val="0"/>
              <w:snapToGrid w:val="0"/>
              <w:spacing w:after="0" w:line="240" w:lineRule="auto"/>
              <w:rPr>
                <w:rFonts w:ascii="Times New Roman" w:hAnsi="Times New Roman" w:cs="Times New Roman"/>
                <w:sz w:val="18"/>
                <w:szCs w:val="22"/>
              </w:rPr>
            </w:pPr>
            <w:r w:rsidRPr="00FB4CFF">
              <w:rPr>
                <w:rFonts w:ascii="Times New Roman" w:hAnsi="Times New Roman" w:cs="Times New Roman"/>
                <w:sz w:val="18"/>
                <w:szCs w:val="22"/>
              </w:rPr>
              <w:t>9.000</w:t>
            </w:r>
          </w:p>
        </w:tc>
        <w:tc>
          <w:tcPr>
            <w:tcW w:w="1503" w:type="dxa"/>
            <w:tcBorders>
              <w:top w:val="single" w:sz="4" w:space="0" w:color="auto"/>
            </w:tcBorders>
            <w:noWrap/>
            <w:vAlign w:val="center"/>
          </w:tcPr>
          <w:p w14:paraId="373F2597" w14:textId="77777777" w:rsidR="00BF0F78" w:rsidRPr="00FB4CFF" w:rsidRDefault="00000000">
            <w:pPr>
              <w:widowControl w:val="0"/>
              <w:overflowPunct w:val="0"/>
              <w:adjustRightInd w:val="0"/>
              <w:snapToGrid w:val="0"/>
              <w:spacing w:after="0" w:line="240" w:lineRule="auto"/>
              <w:rPr>
                <w:rFonts w:ascii="Times New Roman" w:hAnsi="Times New Roman" w:cs="Times New Roman"/>
                <w:sz w:val="18"/>
                <w:szCs w:val="22"/>
              </w:rPr>
            </w:pPr>
            <w:r w:rsidRPr="00FB4CFF">
              <w:rPr>
                <w:rFonts w:ascii="Times New Roman" w:hAnsi="Times New Roman" w:cs="Times New Roman"/>
                <w:sz w:val="18"/>
                <w:szCs w:val="22"/>
              </w:rPr>
              <w:t>7.488</w:t>
            </w:r>
          </w:p>
        </w:tc>
      </w:tr>
      <w:tr w:rsidR="009966AD" w:rsidRPr="00FB4CFF" w14:paraId="5D12D359" w14:textId="77777777">
        <w:trPr>
          <w:cantSplit/>
        </w:trPr>
        <w:tc>
          <w:tcPr>
            <w:tcW w:w="1502" w:type="dxa"/>
            <w:noWrap/>
            <w:vAlign w:val="center"/>
          </w:tcPr>
          <w:p w14:paraId="50E44D30" w14:textId="77777777" w:rsidR="00BF0F78" w:rsidRPr="00FB4CFF" w:rsidRDefault="00000000">
            <w:pPr>
              <w:widowControl w:val="0"/>
              <w:overflowPunct w:val="0"/>
              <w:adjustRightInd w:val="0"/>
              <w:snapToGrid w:val="0"/>
              <w:spacing w:after="0" w:line="240" w:lineRule="auto"/>
              <w:rPr>
                <w:rFonts w:ascii="Times New Roman" w:hAnsi="Times New Roman" w:cs="Times New Roman"/>
                <w:iCs/>
                <w:sz w:val="18"/>
                <w:szCs w:val="22"/>
              </w:rPr>
            </w:pPr>
            <m:oMathPara>
              <m:oMathParaPr>
                <m:jc m:val="left"/>
              </m:oMathParaPr>
              <m:oMath>
                <m:r>
                  <m:rPr>
                    <m:sty m:val="p"/>
                  </m:rPr>
                  <w:rPr>
                    <w:rFonts w:ascii="Cambria Math" w:hAnsi="Cambria Math" w:cs="Times New Roman"/>
                    <w:sz w:val="18"/>
                    <w:szCs w:val="22"/>
                  </w:rPr>
                  <m:t>INQ</m:t>
                </m:r>
              </m:oMath>
            </m:oMathPara>
          </w:p>
        </w:tc>
        <w:tc>
          <w:tcPr>
            <w:tcW w:w="1503" w:type="dxa"/>
            <w:noWrap/>
            <w:vAlign w:val="center"/>
          </w:tcPr>
          <w:p w14:paraId="6171FA16" w14:textId="77777777" w:rsidR="00BF0F78" w:rsidRPr="00FB4CFF" w:rsidRDefault="00000000">
            <w:pPr>
              <w:widowControl w:val="0"/>
              <w:overflowPunct w:val="0"/>
              <w:adjustRightInd w:val="0"/>
              <w:snapToGrid w:val="0"/>
              <w:spacing w:after="0" w:line="240" w:lineRule="auto"/>
              <w:rPr>
                <w:rFonts w:ascii="Times New Roman" w:hAnsi="Times New Roman" w:cs="Times New Roman"/>
                <w:sz w:val="18"/>
                <w:szCs w:val="22"/>
              </w:rPr>
            </w:pPr>
            <w:r w:rsidRPr="00FB4CFF">
              <w:rPr>
                <w:rFonts w:ascii="Times New Roman" w:hAnsi="Times New Roman" w:cs="Times New Roman"/>
                <w:sz w:val="18"/>
                <w:szCs w:val="22"/>
              </w:rPr>
              <w:t>40.139</w:t>
            </w:r>
          </w:p>
        </w:tc>
        <w:tc>
          <w:tcPr>
            <w:tcW w:w="1503" w:type="dxa"/>
            <w:noWrap/>
            <w:vAlign w:val="center"/>
          </w:tcPr>
          <w:p w14:paraId="6C93FB0D" w14:textId="77777777" w:rsidR="00BF0F78" w:rsidRPr="00FB4CFF" w:rsidRDefault="00000000">
            <w:pPr>
              <w:widowControl w:val="0"/>
              <w:overflowPunct w:val="0"/>
              <w:adjustRightInd w:val="0"/>
              <w:snapToGrid w:val="0"/>
              <w:spacing w:after="0" w:line="240" w:lineRule="auto"/>
              <w:rPr>
                <w:rFonts w:ascii="Times New Roman" w:hAnsi="Times New Roman" w:cs="Times New Roman"/>
                <w:sz w:val="18"/>
                <w:szCs w:val="22"/>
              </w:rPr>
            </w:pPr>
            <w:r w:rsidRPr="00FB4CFF">
              <w:rPr>
                <w:rFonts w:ascii="Times New Roman" w:hAnsi="Times New Roman" w:cs="Times New Roman"/>
                <w:sz w:val="18"/>
                <w:szCs w:val="22"/>
              </w:rPr>
              <w:t>51.900</w:t>
            </w:r>
          </w:p>
        </w:tc>
        <w:tc>
          <w:tcPr>
            <w:tcW w:w="1503" w:type="dxa"/>
            <w:noWrap/>
            <w:vAlign w:val="center"/>
          </w:tcPr>
          <w:p w14:paraId="0413127E" w14:textId="77777777" w:rsidR="00BF0F78" w:rsidRPr="00FB4CFF" w:rsidRDefault="00000000">
            <w:pPr>
              <w:widowControl w:val="0"/>
              <w:overflowPunct w:val="0"/>
              <w:adjustRightInd w:val="0"/>
              <w:snapToGrid w:val="0"/>
              <w:spacing w:after="0" w:line="240" w:lineRule="auto"/>
              <w:rPr>
                <w:rFonts w:ascii="Times New Roman" w:hAnsi="Times New Roman" w:cs="Times New Roman"/>
                <w:sz w:val="18"/>
                <w:szCs w:val="22"/>
              </w:rPr>
            </w:pPr>
            <w:r w:rsidRPr="00FB4CFF">
              <w:rPr>
                <w:rFonts w:ascii="Times New Roman" w:hAnsi="Times New Roman" w:cs="Times New Roman"/>
                <w:sz w:val="18"/>
                <w:szCs w:val="22"/>
              </w:rPr>
              <w:t>35.100</w:t>
            </w:r>
          </w:p>
        </w:tc>
        <w:tc>
          <w:tcPr>
            <w:tcW w:w="1503" w:type="dxa"/>
            <w:noWrap/>
            <w:vAlign w:val="center"/>
          </w:tcPr>
          <w:p w14:paraId="6AB92D7C" w14:textId="77777777" w:rsidR="00BF0F78" w:rsidRPr="00FB4CFF" w:rsidRDefault="00000000">
            <w:pPr>
              <w:widowControl w:val="0"/>
              <w:overflowPunct w:val="0"/>
              <w:adjustRightInd w:val="0"/>
              <w:snapToGrid w:val="0"/>
              <w:spacing w:after="0" w:line="240" w:lineRule="auto"/>
              <w:rPr>
                <w:rFonts w:ascii="Times New Roman" w:hAnsi="Times New Roman" w:cs="Times New Roman"/>
                <w:sz w:val="18"/>
                <w:szCs w:val="22"/>
              </w:rPr>
            </w:pPr>
            <w:r w:rsidRPr="00FB4CFF">
              <w:rPr>
                <w:rFonts w:ascii="Times New Roman" w:hAnsi="Times New Roman" w:cs="Times New Roman"/>
                <w:sz w:val="18"/>
                <w:szCs w:val="22"/>
              </w:rPr>
              <w:t>3.997</w:t>
            </w:r>
          </w:p>
        </w:tc>
      </w:tr>
      <w:tr w:rsidR="009966AD" w:rsidRPr="00FB4CFF" w14:paraId="5166D50B" w14:textId="77777777">
        <w:trPr>
          <w:cantSplit/>
        </w:trPr>
        <w:tc>
          <w:tcPr>
            <w:tcW w:w="1502" w:type="dxa"/>
            <w:noWrap/>
            <w:vAlign w:val="center"/>
          </w:tcPr>
          <w:p w14:paraId="3642ED5A" w14:textId="77777777" w:rsidR="00BF0F78" w:rsidRPr="00FB4CFF" w:rsidRDefault="00000000">
            <w:pPr>
              <w:widowControl w:val="0"/>
              <w:overflowPunct w:val="0"/>
              <w:adjustRightInd w:val="0"/>
              <w:snapToGrid w:val="0"/>
              <w:spacing w:after="0" w:line="240" w:lineRule="auto"/>
              <w:rPr>
                <w:rFonts w:ascii="Times New Roman" w:hAnsi="Times New Roman" w:cs="Times New Roman"/>
                <w:iCs/>
                <w:sz w:val="18"/>
                <w:szCs w:val="22"/>
              </w:rPr>
            </w:pPr>
            <m:oMathPara>
              <m:oMathParaPr>
                <m:jc m:val="left"/>
              </m:oMathParaPr>
              <m:oMath>
                <m:r>
                  <m:rPr>
                    <m:sty m:val="p"/>
                  </m:rPr>
                  <w:rPr>
                    <w:rFonts w:ascii="Cambria Math" w:hAnsi="Cambria Math" w:cs="Times New Roman"/>
                    <w:sz w:val="18"/>
                    <w:szCs w:val="22"/>
                  </w:rPr>
                  <m:t>GDP</m:t>
                </m:r>
              </m:oMath>
            </m:oMathPara>
          </w:p>
        </w:tc>
        <w:tc>
          <w:tcPr>
            <w:tcW w:w="1503" w:type="dxa"/>
            <w:noWrap/>
            <w:vAlign w:val="center"/>
          </w:tcPr>
          <w:p w14:paraId="40985E60" w14:textId="77777777" w:rsidR="00BF0F78" w:rsidRPr="00FB4CFF" w:rsidRDefault="00000000">
            <w:pPr>
              <w:widowControl w:val="0"/>
              <w:overflowPunct w:val="0"/>
              <w:adjustRightInd w:val="0"/>
              <w:snapToGrid w:val="0"/>
              <w:spacing w:after="0" w:line="240" w:lineRule="auto"/>
              <w:rPr>
                <w:rFonts w:ascii="Times New Roman" w:hAnsi="Times New Roman" w:cs="Times New Roman"/>
                <w:sz w:val="18"/>
                <w:szCs w:val="22"/>
              </w:rPr>
            </w:pPr>
            <w:r w:rsidRPr="00FB4CFF">
              <w:rPr>
                <w:rFonts w:ascii="Times New Roman" w:hAnsi="Times New Roman" w:cs="Times New Roman"/>
                <w:sz w:val="18"/>
                <w:szCs w:val="22"/>
              </w:rPr>
              <w:t>−1.295</w:t>
            </w:r>
          </w:p>
        </w:tc>
        <w:tc>
          <w:tcPr>
            <w:tcW w:w="1503" w:type="dxa"/>
            <w:noWrap/>
            <w:vAlign w:val="center"/>
          </w:tcPr>
          <w:p w14:paraId="30696A0F" w14:textId="77777777" w:rsidR="00BF0F78" w:rsidRPr="00FB4CFF" w:rsidRDefault="00000000">
            <w:pPr>
              <w:widowControl w:val="0"/>
              <w:overflowPunct w:val="0"/>
              <w:adjustRightInd w:val="0"/>
              <w:snapToGrid w:val="0"/>
              <w:spacing w:after="0" w:line="240" w:lineRule="auto"/>
              <w:rPr>
                <w:rFonts w:ascii="Times New Roman" w:hAnsi="Times New Roman" w:cs="Times New Roman"/>
                <w:sz w:val="18"/>
                <w:szCs w:val="22"/>
              </w:rPr>
            </w:pPr>
            <w:r w:rsidRPr="00FB4CFF">
              <w:rPr>
                <w:rFonts w:ascii="Times New Roman" w:hAnsi="Times New Roman" w:cs="Times New Roman"/>
                <w:sz w:val="18"/>
                <w:szCs w:val="22"/>
              </w:rPr>
              <w:t>7.242</w:t>
            </w:r>
          </w:p>
        </w:tc>
        <w:tc>
          <w:tcPr>
            <w:tcW w:w="1503" w:type="dxa"/>
            <w:noWrap/>
            <w:vAlign w:val="center"/>
          </w:tcPr>
          <w:p w14:paraId="57168B7A" w14:textId="77777777" w:rsidR="00BF0F78" w:rsidRPr="00FB4CFF" w:rsidRDefault="00000000">
            <w:pPr>
              <w:widowControl w:val="0"/>
              <w:overflowPunct w:val="0"/>
              <w:adjustRightInd w:val="0"/>
              <w:snapToGrid w:val="0"/>
              <w:spacing w:after="0" w:line="240" w:lineRule="auto"/>
              <w:rPr>
                <w:rFonts w:ascii="Times New Roman" w:hAnsi="Times New Roman" w:cs="Times New Roman"/>
                <w:sz w:val="18"/>
                <w:szCs w:val="22"/>
              </w:rPr>
            </w:pPr>
            <w:r w:rsidRPr="00FB4CFF">
              <w:rPr>
                <w:rFonts w:ascii="Times New Roman" w:hAnsi="Times New Roman" w:cs="Times New Roman"/>
                <w:sz w:val="18"/>
                <w:szCs w:val="22"/>
              </w:rPr>
              <w:t>−12.889</w:t>
            </w:r>
          </w:p>
        </w:tc>
        <w:tc>
          <w:tcPr>
            <w:tcW w:w="1503" w:type="dxa"/>
            <w:noWrap/>
            <w:vAlign w:val="center"/>
          </w:tcPr>
          <w:p w14:paraId="16F1B2D8" w14:textId="77777777" w:rsidR="00BF0F78" w:rsidRPr="00FB4CFF" w:rsidRDefault="00000000">
            <w:pPr>
              <w:widowControl w:val="0"/>
              <w:overflowPunct w:val="0"/>
              <w:adjustRightInd w:val="0"/>
              <w:snapToGrid w:val="0"/>
              <w:spacing w:after="0" w:line="240" w:lineRule="auto"/>
              <w:rPr>
                <w:rFonts w:ascii="Times New Roman" w:hAnsi="Times New Roman" w:cs="Times New Roman"/>
                <w:sz w:val="18"/>
                <w:szCs w:val="22"/>
              </w:rPr>
            </w:pPr>
            <w:r w:rsidRPr="00FB4CFF">
              <w:rPr>
                <w:rFonts w:ascii="Times New Roman" w:hAnsi="Times New Roman" w:cs="Times New Roman"/>
                <w:sz w:val="18"/>
                <w:szCs w:val="22"/>
              </w:rPr>
              <w:t>4.942</w:t>
            </w:r>
          </w:p>
        </w:tc>
      </w:tr>
      <w:tr w:rsidR="009966AD" w:rsidRPr="00FB4CFF" w14:paraId="247176A0" w14:textId="77777777">
        <w:trPr>
          <w:cantSplit/>
        </w:trPr>
        <w:tc>
          <w:tcPr>
            <w:tcW w:w="1502" w:type="dxa"/>
            <w:noWrap/>
            <w:vAlign w:val="center"/>
          </w:tcPr>
          <w:p w14:paraId="7107F942" w14:textId="77777777" w:rsidR="00BF0F78" w:rsidRPr="00FB4CFF" w:rsidRDefault="00000000">
            <w:pPr>
              <w:widowControl w:val="0"/>
              <w:overflowPunct w:val="0"/>
              <w:adjustRightInd w:val="0"/>
              <w:snapToGrid w:val="0"/>
              <w:spacing w:after="0" w:line="240" w:lineRule="auto"/>
              <w:rPr>
                <w:rFonts w:ascii="Times New Roman" w:hAnsi="Times New Roman" w:cs="Times New Roman"/>
                <w:iCs/>
                <w:sz w:val="18"/>
                <w:szCs w:val="22"/>
              </w:rPr>
            </w:pPr>
            <m:oMathPara>
              <m:oMathParaPr>
                <m:jc m:val="left"/>
              </m:oMathParaPr>
              <m:oMath>
                <m:r>
                  <m:rPr>
                    <m:sty m:val="p"/>
                  </m:rPr>
                  <w:rPr>
                    <w:rFonts w:ascii="Cambria Math" w:hAnsi="Cambria Math" w:cs="Times New Roman"/>
                    <w:sz w:val="18"/>
                    <w:szCs w:val="22"/>
                  </w:rPr>
                  <m:t>EDGDP</m:t>
                </m:r>
              </m:oMath>
            </m:oMathPara>
          </w:p>
        </w:tc>
        <w:tc>
          <w:tcPr>
            <w:tcW w:w="1503" w:type="dxa"/>
            <w:noWrap/>
            <w:vAlign w:val="center"/>
          </w:tcPr>
          <w:p w14:paraId="59F25941" w14:textId="77777777" w:rsidR="00BF0F78" w:rsidRPr="00FB4CFF" w:rsidRDefault="00000000">
            <w:pPr>
              <w:widowControl w:val="0"/>
              <w:overflowPunct w:val="0"/>
              <w:adjustRightInd w:val="0"/>
              <w:snapToGrid w:val="0"/>
              <w:spacing w:after="0" w:line="240" w:lineRule="auto"/>
              <w:rPr>
                <w:rFonts w:ascii="Times New Roman" w:hAnsi="Times New Roman" w:cs="Times New Roman"/>
                <w:sz w:val="18"/>
                <w:szCs w:val="22"/>
              </w:rPr>
            </w:pPr>
            <w:r w:rsidRPr="00FB4CFF">
              <w:rPr>
                <w:rFonts w:ascii="Times New Roman" w:hAnsi="Times New Roman" w:cs="Times New Roman"/>
                <w:sz w:val="18"/>
                <w:szCs w:val="22"/>
              </w:rPr>
              <w:t>32.246</w:t>
            </w:r>
          </w:p>
        </w:tc>
        <w:tc>
          <w:tcPr>
            <w:tcW w:w="1503" w:type="dxa"/>
            <w:noWrap/>
            <w:vAlign w:val="center"/>
          </w:tcPr>
          <w:p w14:paraId="4156EB41" w14:textId="77777777" w:rsidR="00BF0F78" w:rsidRPr="00FB4CFF" w:rsidRDefault="00000000">
            <w:pPr>
              <w:widowControl w:val="0"/>
              <w:overflowPunct w:val="0"/>
              <w:adjustRightInd w:val="0"/>
              <w:snapToGrid w:val="0"/>
              <w:spacing w:after="0" w:line="240" w:lineRule="auto"/>
              <w:rPr>
                <w:rFonts w:ascii="Times New Roman" w:hAnsi="Times New Roman" w:cs="Times New Roman"/>
                <w:sz w:val="18"/>
                <w:szCs w:val="22"/>
              </w:rPr>
            </w:pPr>
            <w:r w:rsidRPr="00FB4CFF">
              <w:rPr>
                <w:rFonts w:ascii="Times New Roman" w:hAnsi="Times New Roman" w:cs="Times New Roman"/>
                <w:sz w:val="18"/>
                <w:szCs w:val="22"/>
              </w:rPr>
              <w:t>110.619</w:t>
            </w:r>
          </w:p>
        </w:tc>
        <w:tc>
          <w:tcPr>
            <w:tcW w:w="1503" w:type="dxa"/>
            <w:noWrap/>
            <w:vAlign w:val="center"/>
          </w:tcPr>
          <w:p w14:paraId="3E8BF1E2" w14:textId="77777777" w:rsidR="00BF0F78" w:rsidRPr="00FB4CFF" w:rsidRDefault="00000000">
            <w:pPr>
              <w:widowControl w:val="0"/>
              <w:overflowPunct w:val="0"/>
              <w:adjustRightInd w:val="0"/>
              <w:snapToGrid w:val="0"/>
              <w:spacing w:after="0" w:line="240" w:lineRule="auto"/>
              <w:rPr>
                <w:rFonts w:ascii="Times New Roman" w:hAnsi="Times New Roman" w:cs="Times New Roman"/>
                <w:sz w:val="18"/>
                <w:szCs w:val="22"/>
              </w:rPr>
            </w:pPr>
            <w:r w:rsidRPr="00FB4CFF">
              <w:rPr>
                <w:rFonts w:ascii="Times New Roman" w:hAnsi="Times New Roman" w:cs="Times New Roman"/>
                <w:sz w:val="18"/>
                <w:szCs w:val="22"/>
              </w:rPr>
              <w:t>4.713</w:t>
            </w:r>
          </w:p>
        </w:tc>
        <w:tc>
          <w:tcPr>
            <w:tcW w:w="1503" w:type="dxa"/>
            <w:noWrap/>
            <w:vAlign w:val="center"/>
          </w:tcPr>
          <w:p w14:paraId="19CB39B4" w14:textId="77777777" w:rsidR="00BF0F78" w:rsidRPr="00FB4CFF" w:rsidRDefault="00000000">
            <w:pPr>
              <w:widowControl w:val="0"/>
              <w:overflowPunct w:val="0"/>
              <w:adjustRightInd w:val="0"/>
              <w:snapToGrid w:val="0"/>
              <w:spacing w:after="0" w:line="240" w:lineRule="auto"/>
              <w:rPr>
                <w:rFonts w:ascii="Times New Roman" w:hAnsi="Times New Roman" w:cs="Times New Roman"/>
                <w:sz w:val="18"/>
                <w:szCs w:val="22"/>
              </w:rPr>
            </w:pPr>
            <w:r w:rsidRPr="00FB4CFF">
              <w:rPr>
                <w:rFonts w:ascii="Times New Roman" w:hAnsi="Times New Roman" w:cs="Times New Roman"/>
                <w:sz w:val="18"/>
                <w:szCs w:val="22"/>
              </w:rPr>
              <w:t>29.572</w:t>
            </w:r>
          </w:p>
        </w:tc>
      </w:tr>
      <w:tr w:rsidR="009966AD" w:rsidRPr="00FB4CFF" w14:paraId="4833E1B6" w14:textId="77777777">
        <w:trPr>
          <w:cantSplit/>
        </w:trPr>
        <w:tc>
          <w:tcPr>
            <w:tcW w:w="1502" w:type="dxa"/>
            <w:noWrap/>
            <w:vAlign w:val="center"/>
          </w:tcPr>
          <w:p w14:paraId="2FE08F80" w14:textId="77777777" w:rsidR="00BF0F78" w:rsidRPr="00FB4CFF" w:rsidRDefault="00000000">
            <w:pPr>
              <w:widowControl w:val="0"/>
              <w:overflowPunct w:val="0"/>
              <w:adjustRightInd w:val="0"/>
              <w:snapToGrid w:val="0"/>
              <w:spacing w:after="0" w:line="240" w:lineRule="auto"/>
              <w:rPr>
                <w:rFonts w:ascii="Times New Roman" w:hAnsi="Times New Roman" w:cs="Times New Roman"/>
                <w:iCs/>
                <w:sz w:val="18"/>
                <w:szCs w:val="22"/>
              </w:rPr>
            </w:pPr>
            <m:oMathPara>
              <m:oMathParaPr>
                <m:jc m:val="left"/>
              </m:oMathParaPr>
              <m:oMath>
                <m:r>
                  <m:rPr>
                    <m:sty m:val="p"/>
                  </m:rPr>
                  <w:rPr>
                    <w:rFonts w:ascii="Cambria Math" w:hAnsi="Cambria Math" w:cs="Times New Roman"/>
                    <w:sz w:val="18"/>
                    <w:szCs w:val="22"/>
                  </w:rPr>
                  <m:t>GOVEF</m:t>
                </m:r>
              </m:oMath>
            </m:oMathPara>
          </w:p>
        </w:tc>
        <w:tc>
          <w:tcPr>
            <w:tcW w:w="1503" w:type="dxa"/>
            <w:noWrap/>
            <w:vAlign w:val="center"/>
          </w:tcPr>
          <w:p w14:paraId="54EDDDE4" w14:textId="77777777" w:rsidR="00BF0F78" w:rsidRPr="00FB4CFF" w:rsidRDefault="00000000">
            <w:pPr>
              <w:widowControl w:val="0"/>
              <w:overflowPunct w:val="0"/>
              <w:adjustRightInd w:val="0"/>
              <w:snapToGrid w:val="0"/>
              <w:spacing w:after="0" w:line="240" w:lineRule="auto"/>
              <w:rPr>
                <w:rFonts w:ascii="Times New Roman" w:hAnsi="Times New Roman" w:cs="Times New Roman"/>
                <w:sz w:val="18"/>
                <w:szCs w:val="22"/>
              </w:rPr>
            </w:pPr>
            <w:r w:rsidRPr="00FB4CFF">
              <w:rPr>
                <w:rFonts w:ascii="Times New Roman" w:hAnsi="Times New Roman" w:cs="Times New Roman"/>
                <w:sz w:val="18"/>
                <w:szCs w:val="22"/>
              </w:rPr>
              <w:t>−0.984</w:t>
            </w:r>
          </w:p>
        </w:tc>
        <w:tc>
          <w:tcPr>
            <w:tcW w:w="1503" w:type="dxa"/>
            <w:noWrap/>
            <w:vAlign w:val="center"/>
          </w:tcPr>
          <w:p w14:paraId="44665D1A" w14:textId="77777777" w:rsidR="00BF0F78" w:rsidRPr="00FB4CFF" w:rsidRDefault="00000000">
            <w:pPr>
              <w:widowControl w:val="0"/>
              <w:overflowPunct w:val="0"/>
              <w:adjustRightInd w:val="0"/>
              <w:snapToGrid w:val="0"/>
              <w:spacing w:after="0" w:line="240" w:lineRule="auto"/>
              <w:rPr>
                <w:rFonts w:ascii="Times New Roman" w:hAnsi="Times New Roman" w:cs="Times New Roman"/>
                <w:sz w:val="18"/>
                <w:szCs w:val="22"/>
              </w:rPr>
            </w:pPr>
            <w:r w:rsidRPr="00FB4CFF">
              <w:rPr>
                <w:rFonts w:ascii="Times New Roman" w:hAnsi="Times New Roman" w:cs="Times New Roman"/>
                <w:sz w:val="18"/>
                <w:szCs w:val="22"/>
              </w:rPr>
              <w:t>−0.485</w:t>
            </w:r>
          </w:p>
        </w:tc>
        <w:tc>
          <w:tcPr>
            <w:tcW w:w="1503" w:type="dxa"/>
            <w:noWrap/>
            <w:vAlign w:val="center"/>
          </w:tcPr>
          <w:p w14:paraId="260E9027" w14:textId="77777777" w:rsidR="00BF0F78" w:rsidRPr="00FB4CFF" w:rsidRDefault="00000000">
            <w:pPr>
              <w:widowControl w:val="0"/>
              <w:overflowPunct w:val="0"/>
              <w:adjustRightInd w:val="0"/>
              <w:snapToGrid w:val="0"/>
              <w:spacing w:after="0" w:line="240" w:lineRule="auto"/>
              <w:rPr>
                <w:rFonts w:ascii="Times New Roman" w:hAnsi="Times New Roman" w:cs="Times New Roman"/>
                <w:sz w:val="18"/>
                <w:szCs w:val="22"/>
              </w:rPr>
            </w:pPr>
            <w:r w:rsidRPr="00FB4CFF">
              <w:rPr>
                <w:rFonts w:ascii="Times New Roman" w:hAnsi="Times New Roman" w:cs="Times New Roman"/>
                <w:sz w:val="18"/>
                <w:szCs w:val="22"/>
              </w:rPr>
              <w:t>−1.210</w:t>
            </w:r>
          </w:p>
        </w:tc>
        <w:tc>
          <w:tcPr>
            <w:tcW w:w="1503" w:type="dxa"/>
            <w:noWrap/>
            <w:vAlign w:val="center"/>
          </w:tcPr>
          <w:p w14:paraId="17BCFC9D" w14:textId="77777777" w:rsidR="00BF0F78" w:rsidRPr="00FB4CFF" w:rsidRDefault="00000000">
            <w:pPr>
              <w:widowControl w:val="0"/>
              <w:overflowPunct w:val="0"/>
              <w:adjustRightInd w:val="0"/>
              <w:snapToGrid w:val="0"/>
              <w:spacing w:after="0" w:line="240" w:lineRule="auto"/>
              <w:rPr>
                <w:rFonts w:ascii="Times New Roman" w:hAnsi="Times New Roman" w:cs="Times New Roman"/>
                <w:sz w:val="18"/>
                <w:szCs w:val="22"/>
              </w:rPr>
            </w:pPr>
            <w:r w:rsidRPr="00FB4CFF">
              <w:rPr>
                <w:rFonts w:ascii="Times New Roman" w:hAnsi="Times New Roman" w:cs="Times New Roman"/>
                <w:sz w:val="18"/>
                <w:szCs w:val="22"/>
              </w:rPr>
              <w:t>0.173</w:t>
            </w:r>
          </w:p>
        </w:tc>
      </w:tr>
      <w:tr w:rsidR="009966AD" w:rsidRPr="00FB4CFF" w14:paraId="56A7531B" w14:textId="77777777">
        <w:trPr>
          <w:cantSplit/>
        </w:trPr>
        <w:tc>
          <w:tcPr>
            <w:tcW w:w="1502" w:type="dxa"/>
            <w:noWrap/>
            <w:vAlign w:val="center"/>
          </w:tcPr>
          <w:p w14:paraId="0966D252" w14:textId="77777777" w:rsidR="00BF0F78" w:rsidRPr="00FB4CFF" w:rsidRDefault="00000000">
            <w:pPr>
              <w:widowControl w:val="0"/>
              <w:overflowPunct w:val="0"/>
              <w:adjustRightInd w:val="0"/>
              <w:snapToGrid w:val="0"/>
              <w:spacing w:after="0" w:line="240" w:lineRule="auto"/>
              <w:rPr>
                <w:rFonts w:ascii="Times New Roman" w:hAnsi="Times New Roman" w:cs="Times New Roman"/>
                <w:sz w:val="18"/>
                <w:szCs w:val="22"/>
              </w:rPr>
            </w:pPr>
            <w:r w:rsidRPr="00FB4CFF">
              <w:rPr>
                <w:rFonts w:ascii="Times New Roman" w:hAnsi="Times New Roman" w:cs="Times New Roman"/>
                <w:sz w:val="18"/>
                <w:szCs w:val="22"/>
              </w:rPr>
              <w:t>Obs.</w:t>
            </w:r>
          </w:p>
        </w:tc>
        <w:tc>
          <w:tcPr>
            <w:tcW w:w="1503" w:type="dxa"/>
            <w:noWrap/>
            <w:vAlign w:val="center"/>
          </w:tcPr>
          <w:p w14:paraId="489F470A" w14:textId="77777777" w:rsidR="00BF0F78" w:rsidRPr="00FB4CFF" w:rsidRDefault="00000000">
            <w:pPr>
              <w:widowControl w:val="0"/>
              <w:overflowPunct w:val="0"/>
              <w:adjustRightInd w:val="0"/>
              <w:snapToGrid w:val="0"/>
              <w:spacing w:after="0" w:line="240" w:lineRule="auto"/>
              <w:rPr>
                <w:rFonts w:ascii="Times New Roman" w:hAnsi="Times New Roman" w:cs="Times New Roman"/>
                <w:sz w:val="18"/>
                <w:szCs w:val="22"/>
              </w:rPr>
            </w:pPr>
            <w:r w:rsidRPr="00FB4CFF">
              <w:rPr>
                <w:rFonts w:ascii="Times New Roman" w:hAnsi="Times New Roman" w:cs="Times New Roman"/>
                <w:sz w:val="18"/>
                <w:szCs w:val="22"/>
              </w:rPr>
              <w:t>33</w:t>
            </w:r>
          </w:p>
        </w:tc>
        <w:tc>
          <w:tcPr>
            <w:tcW w:w="1503" w:type="dxa"/>
            <w:noWrap/>
            <w:vAlign w:val="center"/>
          </w:tcPr>
          <w:p w14:paraId="21752DC4" w14:textId="77777777" w:rsidR="00BF0F78" w:rsidRPr="00FB4CFF" w:rsidRDefault="00000000">
            <w:pPr>
              <w:widowControl w:val="0"/>
              <w:overflowPunct w:val="0"/>
              <w:adjustRightInd w:val="0"/>
              <w:snapToGrid w:val="0"/>
              <w:spacing w:after="0" w:line="240" w:lineRule="auto"/>
              <w:rPr>
                <w:rFonts w:ascii="Times New Roman" w:hAnsi="Times New Roman" w:cs="Times New Roman"/>
                <w:sz w:val="18"/>
                <w:szCs w:val="22"/>
              </w:rPr>
            </w:pPr>
            <w:r w:rsidRPr="00FB4CFF">
              <w:rPr>
                <w:rFonts w:ascii="Times New Roman" w:hAnsi="Times New Roman" w:cs="Times New Roman"/>
                <w:sz w:val="18"/>
                <w:szCs w:val="22"/>
              </w:rPr>
              <w:t>33</w:t>
            </w:r>
          </w:p>
        </w:tc>
        <w:tc>
          <w:tcPr>
            <w:tcW w:w="1503" w:type="dxa"/>
            <w:noWrap/>
            <w:vAlign w:val="center"/>
          </w:tcPr>
          <w:p w14:paraId="27697798" w14:textId="77777777" w:rsidR="00BF0F78" w:rsidRPr="00FB4CFF" w:rsidRDefault="00000000">
            <w:pPr>
              <w:widowControl w:val="0"/>
              <w:overflowPunct w:val="0"/>
              <w:adjustRightInd w:val="0"/>
              <w:snapToGrid w:val="0"/>
              <w:spacing w:after="0" w:line="240" w:lineRule="auto"/>
              <w:rPr>
                <w:rFonts w:ascii="Times New Roman" w:hAnsi="Times New Roman" w:cs="Times New Roman"/>
                <w:sz w:val="18"/>
                <w:szCs w:val="22"/>
              </w:rPr>
            </w:pPr>
            <w:r w:rsidRPr="00FB4CFF">
              <w:rPr>
                <w:rFonts w:ascii="Times New Roman" w:hAnsi="Times New Roman" w:cs="Times New Roman"/>
                <w:sz w:val="18"/>
                <w:szCs w:val="22"/>
              </w:rPr>
              <w:t>33</w:t>
            </w:r>
          </w:p>
        </w:tc>
        <w:tc>
          <w:tcPr>
            <w:tcW w:w="1503" w:type="dxa"/>
            <w:noWrap/>
            <w:vAlign w:val="center"/>
          </w:tcPr>
          <w:p w14:paraId="141DCF53" w14:textId="77777777" w:rsidR="00BF0F78" w:rsidRPr="00FB4CFF" w:rsidRDefault="00000000">
            <w:pPr>
              <w:widowControl w:val="0"/>
              <w:overflowPunct w:val="0"/>
              <w:adjustRightInd w:val="0"/>
              <w:snapToGrid w:val="0"/>
              <w:spacing w:after="0" w:line="240" w:lineRule="auto"/>
              <w:rPr>
                <w:rFonts w:ascii="Times New Roman" w:hAnsi="Times New Roman" w:cs="Times New Roman"/>
                <w:sz w:val="18"/>
                <w:szCs w:val="22"/>
              </w:rPr>
            </w:pPr>
            <w:r w:rsidRPr="00FB4CFF">
              <w:rPr>
                <w:rFonts w:ascii="Times New Roman" w:hAnsi="Times New Roman" w:cs="Times New Roman"/>
                <w:sz w:val="18"/>
                <w:szCs w:val="22"/>
              </w:rPr>
              <w:t>33</w:t>
            </w:r>
          </w:p>
        </w:tc>
      </w:tr>
    </w:tbl>
    <w:p w14:paraId="6C2C163C" w14:textId="77777777" w:rsidR="00BF0F78" w:rsidRPr="009B1BB3" w:rsidRDefault="00000000">
      <w:pPr>
        <w:widowControl w:val="0"/>
        <w:overflowPunct w:val="0"/>
        <w:adjustRightInd w:val="0"/>
        <w:snapToGrid w:val="0"/>
        <w:spacing w:after="240" w:line="240" w:lineRule="auto"/>
        <w:ind w:left="2948"/>
        <w:rPr>
          <w:sz w:val="18"/>
        </w:rPr>
      </w:pPr>
      <w:r w:rsidRPr="009B1BB3">
        <w:rPr>
          <w:sz w:val="18"/>
        </w:rPr>
        <w:t>Source: authors’ computation.</w:t>
      </w:r>
    </w:p>
    <w:p w14:paraId="725DFD6C" w14:textId="0448C6B8" w:rsidR="00BF0F78" w:rsidRPr="009B1BB3" w:rsidRDefault="00F16C59" w:rsidP="00F16C59">
      <w:pPr>
        <w:widowControl w:val="0"/>
        <w:overflowPunct w:val="0"/>
        <w:adjustRightInd w:val="0"/>
        <w:snapToGrid w:val="0"/>
        <w:spacing w:after="0" w:line="288" w:lineRule="auto"/>
        <w:ind w:left="2948" w:firstLine="442"/>
        <w:jc w:val="both"/>
        <w:rPr>
          <w:rFonts w:eastAsia="宋体" w:hint="eastAsia"/>
          <w:szCs w:val="22"/>
          <w:lang w:eastAsia="zh-CN"/>
        </w:rPr>
      </w:pPr>
      <w:r w:rsidRPr="00F16C59">
        <w:rPr>
          <w:rFonts w:eastAsia="宋体"/>
          <w:szCs w:val="22"/>
        </w:rPr>
        <w:t xml:space="preserve">Captured in </w:t>
      </w:r>
      <w:r w:rsidRPr="00F16C59">
        <w:rPr>
          <w:rFonts w:eastAsia="宋体"/>
          <w:b/>
          <w:bCs/>
          <w:szCs w:val="22"/>
        </w:rPr>
        <w:t>Table 3</w:t>
      </w:r>
      <w:r w:rsidRPr="00F16C59">
        <w:rPr>
          <w:rFonts w:eastAsia="宋体"/>
          <w:szCs w:val="22"/>
        </w:rPr>
        <w:t xml:space="preserve"> is the correlation matrix for the study variables. Evidence from the table demonstrates a weak correlation between the study regressors (GDP, EDGDP, GOVEF). Hence, implying the presence of weak multicollinearity between the variables and reliability of deduced inferences from the study’s model.</w:t>
      </w:r>
    </w:p>
    <w:p w14:paraId="1ACFFB5E" w14:textId="77777777" w:rsidR="00BF0F78" w:rsidRPr="009B1BB3" w:rsidRDefault="00000000">
      <w:pPr>
        <w:widowControl w:val="0"/>
        <w:overflowPunct w:val="0"/>
        <w:adjustRightInd w:val="0"/>
        <w:snapToGrid w:val="0"/>
        <w:spacing w:before="240" w:after="60" w:line="288" w:lineRule="auto"/>
        <w:ind w:left="2948"/>
        <w:jc w:val="center"/>
      </w:pPr>
      <w:r w:rsidRPr="009B1BB3">
        <w:rPr>
          <w:b/>
        </w:rPr>
        <w:t>Table 3.</w:t>
      </w:r>
      <w:r w:rsidRPr="009B1BB3">
        <w:t xml:space="preserve"> Correlation test result.</w:t>
      </w:r>
    </w:p>
    <w:tbl>
      <w:tblPr>
        <w:tblStyle w:val="15"/>
        <w:tblW w:w="7518" w:type="dxa"/>
        <w:tblInd w:w="2948"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1274"/>
        <w:gridCol w:w="1219"/>
        <w:gridCol w:w="1343"/>
        <w:gridCol w:w="1155"/>
        <w:gridCol w:w="1275"/>
        <w:gridCol w:w="1252"/>
      </w:tblGrid>
      <w:tr w:rsidR="009966AD" w:rsidRPr="00D70686" w14:paraId="23E24875" w14:textId="77777777">
        <w:trPr>
          <w:cantSplit/>
        </w:trPr>
        <w:tc>
          <w:tcPr>
            <w:tcW w:w="939" w:type="dxa"/>
            <w:tcBorders>
              <w:top w:val="single" w:sz="8" w:space="0" w:color="auto"/>
              <w:bottom w:val="single" w:sz="4" w:space="0" w:color="auto"/>
            </w:tcBorders>
            <w:noWrap/>
            <w:vAlign w:val="center"/>
          </w:tcPr>
          <w:p w14:paraId="37EB049D" w14:textId="77777777" w:rsidR="00BF0F78" w:rsidRPr="00D70686" w:rsidRDefault="00BF0F78">
            <w:pPr>
              <w:widowControl w:val="0"/>
              <w:overflowPunct w:val="0"/>
              <w:adjustRightInd w:val="0"/>
              <w:snapToGrid w:val="0"/>
              <w:spacing w:after="0" w:line="240" w:lineRule="auto"/>
              <w:rPr>
                <w:rFonts w:ascii="Times New Roman" w:hAnsi="Times New Roman" w:cs="Times New Roman"/>
                <w:b/>
                <w:bCs/>
                <w:iCs/>
                <w:sz w:val="18"/>
                <w:szCs w:val="22"/>
              </w:rPr>
            </w:pPr>
          </w:p>
        </w:tc>
        <w:tc>
          <w:tcPr>
            <w:tcW w:w="898" w:type="dxa"/>
            <w:tcBorders>
              <w:top w:val="single" w:sz="8" w:space="0" w:color="auto"/>
              <w:bottom w:val="single" w:sz="4" w:space="0" w:color="auto"/>
            </w:tcBorders>
            <w:noWrap/>
            <w:vAlign w:val="center"/>
          </w:tcPr>
          <w:p w14:paraId="4E1CCF1B" w14:textId="77777777" w:rsidR="00BF0F78" w:rsidRPr="00D70686" w:rsidRDefault="00000000">
            <w:pPr>
              <w:widowControl w:val="0"/>
              <w:overflowPunct w:val="0"/>
              <w:adjustRightInd w:val="0"/>
              <w:snapToGrid w:val="0"/>
              <w:spacing w:after="0" w:line="240" w:lineRule="auto"/>
              <w:rPr>
                <w:rFonts w:ascii="Times New Roman" w:hAnsi="Times New Roman" w:cs="Times New Roman"/>
                <w:b/>
                <w:bCs/>
                <w:iCs/>
                <w:sz w:val="18"/>
                <w:szCs w:val="22"/>
              </w:rPr>
            </w:pPr>
            <m:oMathPara>
              <m:oMathParaPr>
                <m:jc m:val="left"/>
              </m:oMathParaPr>
              <m:oMath>
                <m:r>
                  <m:rPr>
                    <m:sty m:val="b"/>
                  </m:rPr>
                  <w:rPr>
                    <w:rFonts w:ascii="Cambria Math" w:hAnsi="Cambria Math" w:cs="Times New Roman"/>
                    <w:sz w:val="18"/>
                    <w:szCs w:val="22"/>
                  </w:rPr>
                  <m:t>PGI</m:t>
                </m:r>
              </m:oMath>
            </m:oMathPara>
          </w:p>
        </w:tc>
        <w:tc>
          <w:tcPr>
            <w:tcW w:w="989" w:type="dxa"/>
            <w:tcBorders>
              <w:top w:val="single" w:sz="8" w:space="0" w:color="auto"/>
              <w:bottom w:val="single" w:sz="4" w:space="0" w:color="auto"/>
            </w:tcBorders>
            <w:noWrap/>
            <w:vAlign w:val="center"/>
          </w:tcPr>
          <w:p w14:paraId="42421101" w14:textId="77777777" w:rsidR="00BF0F78" w:rsidRPr="00D70686" w:rsidRDefault="00000000">
            <w:pPr>
              <w:widowControl w:val="0"/>
              <w:overflowPunct w:val="0"/>
              <w:adjustRightInd w:val="0"/>
              <w:snapToGrid w:val="0"/>
              <w:spacing w:after="0" w:line="240" w:lineRule="auto"/>
              <w:rPr>
                <w:rFonts w:ascii="Times New Roman" w:hAnsi="Times New Roman" w:cs="Times New Roman"/>
                <w:b/>
                <w:bCs/>
                <w:iCs/>
                <w:sz w:val="18"/>
                <w:szCs w:val="22"/>
              </w:rPr>
            </w:pPr>
            <m:oMathPara>
              <m:oMathParaPr>
                <m:jc m:val="left"/>
              </m:oMathParaPr>
              <m:oMath>
                <m:r>
                  <m:rPr>
                    <m:sty m:val="b"/>
                  </m:rPr>
                  <w:rPr>
                    <w:rFonts w:ascii="Cambria Math" w:hAnsi="Cambria Math" w:cs="Times New Roman"/>
                    <w:sz w:val="18"/>
                    <w:szCs w:val="22"/>
                  </w:rPr>
                  <m:t>INQ</m:t>
                </m:r>
              </m:oMath>
            </m:oMathPara>
          </w:p>
        </w:tc>
        <w:tc>
          <w:tcPr>
            <w:tcW w:w="851" w:type="dxa"/>
            <w:tcBorders>
              <w:top w:val="single" w:sz="8" w:space="0" w:color="auto"/>
              <w:bottom w:val="single" w:sz="4" w:space="0" w:color="auto"/>
            </w:tcBorders>
            <w:noWrap/>
            <w:vAlign w:val="center"/>
          </w:tcPr>
          <w:p w14:paraId="7B93372A" w14:textId="77777777" w:rsidR="00BF0F78" w:rsidRPr="00D70686" w:rsidRDefault="00000000">
            <w:pPr>
              <w:widowControl w:val="0"/>
              <w:overflowPunct w:val="0"/>
              <w:adjustRightInd w:val="0"/>
              <w:snapToGrid w:val="0"/>
              <w:spacing w:after="0" w:line="240" w:lineRule="auto"/>
              <w:rPr>
                <w:rFonts w:ascii="Times New Roman" w:hAnsi="Times New Roman" w:cs="Times New Roman"/>
                <w:b/>
                <w:bCs/>
                <w:iCs/>
                <w:sz w:val="18"/>
                <w:szCs w:val="22"/>
              </w:rPr>
            </w:pPr>
            <m:oMathPara>
              <m:oMathParaPr>
                <m:jc m:val="left"/>
              </m:oMathParaPr>
              <m:oMath>
                <m:r>
                  <m:rPr>
                    <m:sty m:val="b"/>
                  </m:rPr>
                  <w:rPr>
                    <w:rFonts w:ascii="Cambria Math" w:hAnsi="Cambria Math" w:cs="Times New Roman"/>
                    <w:sz w:val="18"/>
                    <w:szCs w:val="22"/>
                  </w:rPr>
                  <m:t>GDP</m:t>
                </m:r>
              </m:oMath>
            </m:oMathPara>
          </w:p>
        </w:tc>
        <w:tc>
          <w:tcPr>
            <w:tcW w:w="939" w:type="dxa"/>
            <w:tcBorders>
              <w:top w:val="single" w:sz="8" w:space="0" w:color="auto"/>
              <w:bottom w:val="single" w:sz="4" w:space="0" w:color="auto"/>
            </w:tcBorders>
            <w:noWrap/>
            <w:vAlign w:val="center"/>
          </w:tcPr>
          <w:p w14:paraId="59B8445C" w14:textId="77777777" w:rsidR="00BF0F78" w:rsidRPr="00D70686" w:rsidRDefault="00000000">
            <w:pPr>
              <w:widowControl w:val="0"/>
              <w:overflowPunct w:val="0"/>
              <w:adjustRightInd w:val="0"/>
              <w:snapToGrid w:val="0"/>
              <w:spacing w:after="0" w:line="240" w:lineRule="auto"/>
              <w:rPr>
                <w:rFonts w:ascii="Times New Roman" w:hAnsi="Times New Roman" w:cs="Times New Roman"/>
                <w:b/>
                <w:bCs/>
                <w:iCs/>
                <w:sz w:val="18"/>
                <w:szCs w:val="22"/>
              </w:rPr>
            </w:pPr>
            <m:oMathPara>
              <m:oMathParaPr>
                <m:jc m:val="left"/>
              </m:oMathParaPr>
              <m:oMath>
                <m:r>
                  <m:rPr>
                    <m:sty m:val="b"/>
                  </m:rPr>
                  <w:rPr>
                    <w:rFonts w:ascii="Cambria Math" w:hAnsi="Cambria Math" w:cs="Times New Roman"/>
                    <w:sz w:val="18"/>
                    <w:szCs w:val="22"/>
                  </w:rPr>
                  <m:t>EDGDP</m:t>
                </m:r>
              </m:oMath>
            </m:oMathPara>
          </w:p>
        </w:tc>
        <w:tc>
          <w:tcPr>
            <w:tcW w:w="922" w:type="dxa"/>
            <w:tcBorders>
              <w:top w:val="single" w:sz="8" w:space="0" w:color="auto"/>
              <w:bottom w:val="single" w:sz="4" w:space="0" w:color="auto"/>
            </w:tcBorders>
            <w:noWrap/>
            <w:vAlign w:val="center"/>
          </w:tcPr>
          <w:p w14:paraId="0D23723D" w14:textId="77777777" w:rsidR="00BF0F78" w:rsidRPr="00D70686" w:rsidRDefault="00000000">
            <w:pPr>
              <w:widowControl w:val="0"/>
              <w:overflowPunct w:val="0"/>
              <w:adjustRightInd w:val="0"/>
              <w:snapToGrid w:val="0"/>
              <w:spacing w:after="0" w:line="240" w:lineRule="auto"/>
              <w:rPr>
                <w:rFonts w:ascii="Times New Roman" w:hAnsi="Times New Roman" w:cs="Times New Roman"/>
                <w:b/>
                <w:bCs/>
                <w:iCs/>
                <w:sz w:val="18"/>
                <w:szCs w:val="22"/>
              </w:rPr>
            </w:pPr>
            <m:oMathPara>
              <m:oMathParaPr>
                <m:jc m:val="left"/>
              </m:oMathParaPr>
              <m:oMath>
                <m:r>
                  <m:rPr>
                    <m:sty m:val="b"/>
                  </m:rPr>
                  <w:rPr>
                    <w:rFonts w:ascii="Cambria Math" w:hAnsi="Cambria Math" w:cs="Times New Roman"/>
                    <w:sz w:val="18"/>
                    <w:szCs w:val="22"/>
                  </w:rPr>
                  <m:t>GOVEF</m:t>
                </m:r>
              </m:oMath>
            </m:oMathPara>
          </w:p>
        </w:tc>
      </w:tr>
      <w:tr w:rsidR="009966AD" w:rsidRPr="00D70686" w14:paraId="38D354C8" w14:textId="77777777">
        <w:trPr>
          <w:cantSplit/>
        </w:trPr>
        <w:tc>
          <w:tcPr>
            <w:tcW w:w="939" w:type="dxa"/>
            <w:tcBorders>
              <w:top w:val="single" w:sz="4" w:space="0" w:color="auto"/>
            </w:tcBorders>
            <w:noWrap/>
            <w:vAlign w:val="center"/>
          </w:tcPr>
          <w:p w14:paraId="3B02701E" w14:textId="77777777" w:rsidR="00BF0F78" w:rsidRPr="00D70686" w:rsidRDefault="00000000">
            <w:pPr>
              <w:widowControl w:val="0"/>
              <w:overflowPunct w:val="0"/>
              <w:adjustRightInd w:val="0"/>
              <w:snapToGrid w:val="0"/>
              <w:spacing w:after="0" w:line="240" w:lineRule="auto"/>
              <w:rPr>
                <w:rFonts w:ascii="Times New Roman" w:hAnsi="Times New Roman" w:cs="Times New Roman"/>
                <w:iCs/>
                <w:sz w:val="18"/>
                <w:szCs w:val="22"/>
              </w:rPr>
            </w:pPr>
            <m:oMathPara>
              <m:oMathParaPr>
                <m:jc m:val="left"/>
              </m:oMathParaPr>
              <m:oMath>
                <m:r>
                  <m:rPr>
                    <m:sty m:val="p"/>
                  </m:rPr>
                  <w:rPr>
                    <w:rFonts w:ascii="Cambria Math" w:hAnsi="Cambria Math" w:cs="Times New Roman"/>
                    <w:sz w:val="18"/>
                    <w:szCs w:val="22"/>
                  </w:rPr>
                  <m:t>PGI</m:t>
                </m:r>
              </m:oMath>
            </m:oMathPara>
          </w:p>
        </w:tc>
        <w:tc>
          <w:tcPr>
            <w:tcW w:w="898" w:type="dxa"/>
            <w:tcBorders>
              <w:top w:val="single" w:sz="4" w:space="0" w:color="auto"/>
            </w:tcBorders>
            <w:noWrap/>
            <w:vAlign w:val="center"/>
          </w:tcPr>
          <w:p w14:paraId="679410E7" w14:textId="77777777" w:rsidR="00BF0F78" w:rsidRPr="00D70686" w:rsidRDefault="00000000">
            <w:pPr>
              <w:widowControl w:val="0"/>
              <w:overflowPunct w:val="0"/>
              <w:adjustRightInd w:val="0"/>
              <w:snapToGrid w:val="0"/>
              <w:spacing w:after="0" w:line="240" w:lineRule="auto"/>
              <w:rPr>
                <w:rFonts w:ascii="Times New Roman" w:hAnsi="Times New Roman" w:cs="Times New Roman"/>
                <w:sz w:val="18"/>
                <w:szCs w:val="22"/>
              </w:rPr>
            </w:pPr>
            <w:r w:rsidRPr="00D70686">
              <w:rPr>
                <w:rFonts w:ascii="Times New Roman" w:hAnsi="Times New Roman" w:cs="Times New Roman"/>
                <w:sz w:val="18"/>
                <w:szCs w:val="22"/>
              </w:rPr>
              <w:t>1</w:t>
            </w:r>
          </w:p>
        </w:tc>
        <w:tc>
          <w:tcPr>
            <w:tcW w:w="989" w:type="dxa"/>
            <w:tcBorders>
              <w:top w:val="single" w:sz="4" w:space="0" w:color="auto"/>
            </w:tcBorders>
            <w:noWrap/>
            <w:vAlign w:val="center"/>
          </w:tcPr>
          <w:p w14:paraId="36595E3D" w14:textId="77777777" w:rsidR="00BF0F78" w:rsidRPr="00D70686" w:rsidRDefault="00BF0F78">
            <w:pPr>
              <w:widowControl w:val="0"/>
              <w:overflowPunct w:val="0"/>
              <w:adjustRightInd w:val="0"/>
              <w:snapToGrid w:val="0"/>
              <w:spacing w:after="0" w:line="240" w:lineRule="auto"/>
              <w:rPr>
                <w:rFonts w:ascii="Times New Roman" w:hAnsi="Times New Roman" w:cs="Times New Roman"/>
                <w:sz w:val="18"/>
                <w:szCs w:val="22"/>
              </w:rPr>
            </w:pPr>
          </w:p>
        </w:tc>
        <w:tc>
          <w:tcPr>
            <w:tcW w:w="851" w:type="dxa"/>
            <w:tcBorders>
              <w:top w:val="single" w:sz="4" w:space="0" w:color="auto"/>
            </w:tcBorders>
            <w:noWrap/>
            <w:vAlign w:val="center"/>
          </w:tcPr>
          <w:p w14:paraId="1D81085A" w14:textId="77777777" w:rsidR="00BF0F78" w:rsidRPr="00D70686" w:rsidRDefault="00BF0F78">
            <w:pPr>
              <w:widowControl w:val="0"/>
              <w:overflowPunct w:val="0"/>
              <w:adjustRightInd w:val="0"/>
              <w:snapToGrid w:val="0"/>
              <w:spacing w:after="0" w:line="240" w:lineRule="auto"/>
              <w:rPr>
                <w:rFonts w:ascii="Times New Roman" w:hAnsi="Times New Roman" w:cs="Times New Roman"/>
                <w:sz w:val="18"/>
                <w:szCs w:val="22"/>
              </w:rPr>
            </w:pPr>
          </w:p>
        </w:tc>
        <w:tc>
          <w:tcPr>
            <w:tcW w:w="939" w:type="dxa"/>
            <w:tcBorders>
              <w:top w:val="single" w:sz="4" w:space="0" w:color="auto"/>
            </w:tcBorders>
            <w:noWrap/>
            <w:vAlign w:val="center"/>
          </w:tcPr>
          <w:p w14:paraId="7A2A3564" w14:textId="77777777" w:rsidR="00BF0F78" w:rsidRPr="00D70686" w:rsidRDefault="00BF0F78">
            <w:pPr>
              <w:widowControl w:val="0"/>
              <w:overflowPunct w:val="0"/>
              <w:adjustRightInd w:val="0"/>
              <w:snapToGrid w:val="0"/>
              <w:spacing w:after="0" w:line="240" w:lineRule="auto"/>
              <w:rPr>
                <w:rFonts w:ascii="Times New Roman" w:hAnsi="Times New Roman" w:cs="Times New Roman"/>
                <w:sz w:val="18"/>
                <w:szCs w:val="22"/>
              </w:rPr>
            </w:pPr>
          </w:p>
        </w:tc>
        <w:tc>
          <w:tcPr>
            <w:tcW w:w="922" w:type="dxa"/>
            <w:tcBorders>
              <w:top w:val="single" w:sz="4" w:space="0" w:color="auto"/>
            </w:tcBorders>
            <w:noWrap/>
            <w:vAlign w:val="center"/>
          </w:tcPr>
          <w:p w14:paraId="404F2F38" w14:textId="77777777" w:rsidR="00BF0F78" w:rsidRPr="00D70686" w:rsidRDefault="00BF0F78">
            <w:pPr>
              <w:widowControl w:val="0"/>
              <w:overflowPunct w:val="0"/>
              <w:adjustRightInd w:val="0"/>
              <w:snapToGrid w:val="0"/>
              <w:spacing w:after="0" w:line="240" w:lineRule="auto"/>
              <w:rPr>
                <w:rFonts w:ascii="Times New Roman" w:hAnsi="Times New Roman" w:cs="Times New Roman"/>
                <w:sz w:val="18"/>
                <w:szCs w:val="22"/>
              </w:rPr>
            </w:pPr>
          </w:p>
        </w:tc>
      </w:tr>
      <w:tr w:rsidR="009966AD" w:rsidRPr="00D70686" w14:paraId="6AC9834F" w14:textId="77777777">
        <w:trPr>
          <w:cantSplit/>
        </w:trPr>
        <w:tc>
          <w:tcPr>
            <w:tcW w:w="939" w:type="dxa"/>
            <w:noWrap/>
            <w:vAlign w:val="center"/>
          </w:tcPr>
          <w:p w14:paraId="1E68438A" w14:textId="77777777" w:rsidR="00BF0F78" w:rsidRPr="00D70686" w:rsidRDefault="00000000">
            <w:pPr>
              <w:widowControl w:val="0"/>
              <w:overflowPunct w:val="0"/>
              <w:adjustRightInd w:val="0"/>
              <w:snapToGrid w:val="0"/>
              <w:spacing w:after="0" w:line="240" w:lineRule="auto"/>
              <w:rPr>
                <w:rFonts w:ascii="Times New Roman" w:hAnsi="Times New Roman" w:cs="Times New Roman"/>
                <w:iCs/>
                <w:sz w:val="18"/>
                <w:szCs w:val="22"/>
              </w:rPr>
            </w:pPr>
            <m:oMathPara>
              <m:oMathParaPr>
                <m:jc m:val="left"/>
              </m:oMathParaPr>
              <m:oMath>
                <m:r>
                  <m:rPr>
                    <m:sty m:val="p"/>
                  </m:rPr>
                  <w:rPr>
                    <w:rFonts w:ascii="Cambria Math" w:hAnsi="Cambria Math" w:cs="Times New Roman"/>
                    <w:sz w:val="18"/>
                    <w:szCs w:val="22"/>
                  </w:rPr>
                  <m:t>INQ</m:t>
                </m:r>
              </m:oMath>
            </m:oMathPara>
          </w:p>
        </w:tc>
        <w:tc>
          <w:tcPr>
            <w:tcW w:w="898" w:type="dxa"/>
            <w:noWrap/>
            <w:vAlign w:val="center"/>
          </w:tcPr>
          <w:p w14:paraId="20F3D888" w14:textId="77777777" w:rsidR="00BF0F78" w:rsidRPr="00D70686" w:rsidRDefault="00000000">
            <w:pPr>
              <w:widowControl w:val="0"/>
              <w:overflowPunct w:val="0"/>
              <w:adjustRightInd w:val="0"/>
              <w:snapToGrid w:val="0"/>
              <w:spacing w:after="0" w:line="240" w:lineRule="auto"/>
              <w:rPr>
                <w:rFonts w:ascii="Times New Roman" w:hAnsi="Times New Roman" w:cs="Times New Roman"/>
                <w:sz w:val="18"/>
                <w:szCs w:val="22"/>
              </w:rPr>
            </w:pPr>
            <w:r w:rsidRPr="00D70686">
              <w:rPr>
                <w:rFonts w:ascii="Times New Roman" w:hAnsi="Times New Roman" w:cs="Times New Roman"/>
                <w:sz w:val="18"/>
                <w:szCs w:val="22"/>
              </w:rPr>
              <w:t>0.121</w:t>
            </w:r>
          </w:p>
        </w:tc>
        <w:tc>
          <w:tcPr>
            <w:tcW w:w="989" w:type="dxa"/>
            <w:noWrap/>
            <w:vAlign w:val="center"/>
          </w:tcPr>
          <w:p w14:paraId="45C69340" w14:textId="77777777" w:rsidR="00BF0F78" w:rsidRPr="00D70686" w:rsidRDefault="00000000">
            <w:pPr>
              <w:widowControl w:val="0"/>
              <w:overflowPunct w:val="0"/>
              <w:adjustRightInd w:val="0"/>
              <w:snapToGrid w:val="0"/>
              <w:spacing w:after="0" w:line="240" w:lineRule="auto"/>
              <w:rPr>
                <w:rFonts w:ascii="Times New Roman" w:hAnsi="Times New Roman" w:cs="Times New Roman"/>
                <w:sz w:val="18"/>
                <w:szCs w:val="22"/>
              </w:rPr>
            </w:pPr>
            <w:r w:rsidRPr="00D70686">
              <w:rPr>
                <w:rFonts w:ascii="Times New Roman" w:hAnsi="Times New Roman" w:cs="Times New Roman"/>
                <w:sz w:val="18"/>
                <w:szCs w:val="22"/>
              </w:rPr>
              <w:t>1</w:t>
            </w:r>
          </w:p>
        </w:tc>
        <w:tc>
          <w:tcPr>
            <w:tcW w:w="851" w:type="dxa"/>
            <w:noWrap/>
            <w:vAlign w:val="center"/>
          </w:tcPr>
          <w:p w14:paraId="6E0BE0C7" w14:textId="77777777" w:rsidR="00BF0F78" w:rsidRPr="00D70686" w:rsidRDefault="00BF0F78">
            <w:pPr>
              <w:widowControl w:val="0"/>
              <w:overflowPunct w:val="0"/>
              <w:adjustRightInd w:val="0"/>
              <w:snapToGrid w:val="0"/>
              <w:spacing w:after="0" w:line="240" w:lineRule="auto"/>
              <w:rPr>
                <w:rFonts w:ascii="Times New Roman" w:hAnsi="Times New Roman" w:cs="Times New Roman"/>
                <w:sz w:val="18"/>
                <w:szCs w:val="22"/>
              </w:rPr>
            </w:pPr>
          </w:p>
        </w:tc>
        <w:tc>
          <w:tcPr>
            <w:tcW w:w="939" w:type="dxa"/>
            <w:noWrap/>
            <w:vAlign w:val="center"/>
          </w:tcPr>
          <w:p w14:paraId="58BB2D06" w14:textId="77777777" w:rsidR="00BF0F78" w:rsidRPr="00D70686" w:rsidRDefault="00BF0F78">
            <w:pPr>
              <w:widowControl w:val="0"/>
              <w:overflowPunct w:val="0"/>
              <w:adjustRightInd w:val="0"/>
              <w:snapToGrid w:val="0"/>
              <w:spacing w:after="0" w:line="240" w:lineRule="auto"/>
              <w:rPr>
                <w:rFonts w:ascii="Times New Roman" w:hAnsi="Times New Roman" w:cs="Times New Roman"/>
                <w:sz w:val="18"/>
                <w:szCs w:val="22"/>
              </w:rPr>
            </w:pPr>
          </w:p>
        </w:tc>
        <w:tc>
          <w:tcPr>
            <w:tcW w:w="922" w:type="dxa"/>
            <w:noWrap/>
            <w:vAlign w:val="center"/>
          </w:tcPr>
          <w:p w14:paraId="1FBB2D67" w14:textId="77777777" w:rsidR="00BF0F78" w:rsidRPr="00D70686" w:rsidRDefault="00BF0F78">
            <w:pPr>
              <w:widowControl w:val="0"/>
              <w:overflowPunct w:val="0"/>
              <w:adjustRightInd w:val="0"/>
              <w:snapToGrid w:val="0"/>
              <w:spacing w:after="0" w:line="240" w:lineRule="auto"/>
              <w:rPr>
                <w:rFonts w:ascii="Times New Roman" w:hAnsi="Times New Roman" w:cs="Times New Roman"/>
                <w:sz w:val="18"/>
                <w:szCs w:val="22"/>
              </w:rPr>
            </w:pPr>
          </w:p>
        </w:tc>
      </w:tr>
      <w:tr w:rsidR="009966AD" w:rsidRPr="00D70686" w14:paraId="26EF8E61" w14:textId="77777777">
        <w:trPr>
          <w:cantSplit/>
        </w:trPr>
        <w:tc>
          <w:tcPr>
            <w:tcW w:w="939" w:type="dxa"/>
            <w:noWrap/>
            <w:vAlign w:val="center"/>
          </w:tcPr>
          <w:p w14:paraId="4FBF650F" w14:textId="77777777" w:rsidR="00BF0F78" w:rsidRPr="00D70686" w:rsidRDefault="00000000">
            <w:pPr>
              <w:widowControl w:val="0"/>
              <w:overflowPunct w:val="0"/>
              <w:adjustRightInd w:val="0"/>
              <w:snapToGrid w:val="0"/>
              <w:spacing w:after="0" w:line="240" w:lineRule="auto"/>
              <w:rPr>
                <w:rFonts w:ascii="Times New Roman" w:hAnsi="Times New Roman" w:cs="Times New Roman"/>
                <w:iCs/>
                <w:sz w:val="18"/>
                <w:szCs w:val="22"/>
              </w:rPr>
            </w:pPr>
            <m:oMathPara>
              <m:oMathParaPr>
                <m:jc m:val="left"/>
              </m:oMathParaPr>
              <m:oMath>
                <m:r>
                  <m:rPr>
                    <m:sty m:val="p"/>
                  </m:rPr>
                  <w:rPr>
                    <w:rFonts w:ascii="Cambria Math" w:hAnsi="Cambria Math" w:cs="Times New Roman"/>
                    <w:sz w:val="18"/>
                    <w:szCs w:val="22"/>
                  </w:rPr>
                  <m:t>GDP</m:t>
                </m:r>
              </m:oMath>
            </m:oMathPara>
          </w:p>
        </w:tc>
        <w:tc>
          <w:tcPr>
            <w:tcW w:w="898" w:type="dxa"/>
            <w:noWrap/>
            <w:vAlign w:val="center"/>
          </w:tcPr>
          <w:p w14:paraId="7C94D7EC" w14:textId="77777777" w:rsidR="00BF0F78" w:rsidRPr="00D70686" w:rsidRDefault="00000000">
            <w:pPr>
              <w:widowControl w:val="0"/>
              <w:overflowPunct w:val="0"/>
              <w:adjustRightInd w:val="0"/>
              <w:snapToGrid w:val="0"/>
              <w:spacing w:after="0" w:line="240" w:lineRule="auto"/>
              <w:rPr>
                <w:rFonts w:ascii="Times New Roman" w:hAnsi="Times New Roman" w:cs="Times New Roman"/>
                <w:sz w:val="18"/>
                <w:szCs w:val="22"/>
              </w:rPr>
            </w:pPr>
            <w:r w:rsidRPr="00D70686">
              <w:rPr>
                <w:rFonts w:ascii="Times New Roman" w:hAnsi="Times New Roman" w:cs="Times New Roman"/>
                <w:sz w:val="18"/>
                <w:szCs w:val="22"/>
              </w:rPr>
              <w:t>0.257</w:t>
            </w:r>
          </w:p>
        </w:tc>
        <w:tc>
          <w:tcPr>
            <w:tcW w:w="989" w:type="dxa"/>
            <w:noWrap/>
            <w:vAlign w:val="center"/>
          </w:tcPr>
          <w:p w14:paraId="752C7304" w14:textId="77777777" w:rsidR="00BF0F78" w:rsidRPr="00D70686" w:rsidRDefault="00000000">
            <w:pPr>
              <w:widowControl w:val="0"/>
              <w:overflowPunct w:val="0"/>
              <w:adjustRightInd w:val="0"/>
              <w:snapToGrid w:val="0"/>
              <w:spacing w:after="0" w:line="240" w:lineRule="auto"/>
              <w:rPr>
                <w:rFonts w:ascii="Times New Roman" w:hAnsi="Times New Roman" w:cs="Times New Roman"/>
                <w:sz w:val="18"/>
                <w:szCs w:val="22"/>
              </w:rPr>
            </w:pPr>
            <w:r w:rsidRPr="00D70686">
              <w:rPr>
                <w:rFonts w:ascii="Times New Roman" w:hAnsi="Times New Roman" w:cs="Times New Roman"/>
                <w:sz w:val="18"/>
                <w:szCs w:val="22"/>
              </w:rPr>
              <w:t>0.065</w:t>
            </w:r>
          </w:p>
        </w:tc>
        <w:tc>
          <w:tcPr>
            <w:tcW w:w="851" w:type="dxa"/>
            <w:noWrap/>
            <w:vAlign w:val="center"/>
          </w:tcPr>
          <w:p w14:paraId="45454B13" w14:textId="77777777" w:rsidR="00BF0F78" w:rsidRPr="00D70686" w:rsidRDefault="00000000">
            <w:pPr>
              <w:widowControl w:val="0"/>
              <w:overflowPunct w:val="0"/>
              <w:adjustRightInd w:val="0"/>
              <w:snapToGrid w:val="0"/>
              <w:spacing w:after="0" w:line="240" w:lineRule="auto"/>
              <w:rPr>
                <w:rFonts w:ascii="Times New Roman" w:hAnsi="Times New Roman" w:cs="Times New Roman"/>
                <w:sz w:val="18"/>
                <w:szCs w:val="22"/>
              </w:rPr>
            </w:pPr>
            <w:r w:rsidRPr="00D70686">
              <w:rPr>
                <w:rFonts w:ascii="Times New Roman" w:hAnsi="Times New Roman" w:cs="Times New Roman"/>
                <w:sz w:val="18"/>
                <w:szCs w:val="22"/>
              </w:rPr>
              <w:t>1</w:t>
            </w:r>
          </w:p>
        </w:tc>
        <w:tc>
          <w:tcPr>
            <w:tcW w:w="939" w:type="dxa"/>
            <w:noWrap/>
            <w:vAlign w:val="center"/>
          </w:tcPr>
          <w:p w14:paraId="0E5E0407" w14:textId="77777777" w:rsidR="00BF0F78" w:rsidRPr="00D70686" w:rsidRDefault="00BF0F78">
            <w:pPr>
              <w:widowControl w:val="0"/>
              <w:overflowPunct w:val="0"/>
              <w:adjustRightInd w:val="0"/>
              <w:snapToGrid w:val="0"/>
              <w:spacing w:after="0" w:line="240" w:lineRule="auto"/>
              <w:rPr>
                <w:rFonts w:ascii="Times New Roman" w:hAnsi="Times New Roman" w:cs="Times New Roman"/>
                <w:sz w:val="18"/>
                <w:szCs w:val="22"/>
              </w:rPr>
            </w:pPr>
          </w:p>
        </w:tc>
        <w:tc>
          <w:tcPr>
            <w:tcW w:w="922" w:type="dxa"/>
            <w:noWrap/>
            <w:vAlign w:val="center"/>
          </w:tcPr>
          <w:p w14:paraId="47CD3824" w14:textId="77777777" w:rsidR="00BF0F78" w:rsidRPr="00D70686" w:rsidRDefault="00BF0F78">
            <w:pPr>
              <w:widowControl w:val="0"/>
              <w:overflowPunct w:val="0"/>
              <w:adjustRightInd w:val="0"/>
              <w:snapToGrid w:val="0"/>
              <w:spacing w:after="0" w:line="240" w:lineRule="auto"/>
              <w:rPr>
                <w:rFonts w:ascii="Times New Roman" w:hAnsi="Times New Roman" w:cs="Times New Roman"/>
                <w:sz w:val="18"/>
                <w:szCs w:val="22"/>
              </w:rPr>
            </w:pPr>
          </w:p>
        </w:tc>
      </w:tr>
      <w:tr w:rsidR="009966AD" w:rsidRPr="00D70686" w14:paraId="26AF1274" w14:textId="77777777">
        <w:trPr>
          <w:cantSplit/>
        </w:trPr>
        <w:tc>
          <w:tcPr>
            <w:tcW w:w="939" w:type="dxa"/>
            <w:noWrap/>
            <w:vAlign w:val="center"/>
          </w:tcPr>
          <w:p w14:paraId="4F35D5C9" w14:textId="77777777" w:rsidR="00BF0F78" w:rsidRPr="00D70686" w:rsidRDefault="00000000">
            <w:pPr>
              <w:widowControl w:val="0"/>
              <w:overflowPunct w:val="0"/>
              <w:adjustRightInd w:val="0"/>
              <w:snapToGrid w:val="0"/>
              <w:spacing w:after="0" w:line="240" w:lineRule="auto"/>
              <w:rPr>
                <w:rFonts w:ascii="Times New Roman" w:hAnsi="Times New Roman" w:cs="Times New Roman"/>
                <w:iCs/>
                <w:sz w:val="18"/>
                <w:szCs w:val="22"/>
              </w:rPr>
            </w:pPr>
            <m:oMathPara>
              <m:oMathParaPr>
                <m:jc m:val="left"/>
              </m:oMathParaPr>
              <m:oMath>
                <m:r>
                  <m:rPr>
                    <m:sty m:val="p"/>
                  </m:rPr>
                  <w:rPr>
                    <w:rFonts w:ascii="Cambria Math" w:hAnsi="Cambria Math" w:cs="Times New Roman"/>
                    <w:sz w:val="18"/>
                    <w:szCs w:val="22"/>
                  </w:rPr>
                  <m:t>EDGDP</m:t>
                </m:r>
              </m:oMath>
            </m:oMathPara>
          </w:p>
        </w:tc>
        <w:tc>
          <w:tcPr>
            <w:tcW w:w="898" w:type="dxa"/>
            <w:noWrap/>
            <w:vAlign w:val="center"/>
          </w:tcPr>
          <w:p w14:paraId="5F5762D9" w14:textId="77777777" w:rsidR="00BF0F78" w:rsidRPr="00D70686" w:rsidRDefault="00000000">
            <w:pPr>
              <w:widowControl w:val="0"/>
              <w:overflowPunct w:val="0"/>
              <w:adjustRightInd w:val="0"/>
              <w:snapToGrid w:val="0"/>
              <w:spacing w:after="0" w:line="240" w:lineRule="auto"/>
              <w:rPr>
                <w:rFonts w:ascii="Times New Roman" w:hAnsi="Times New Roman" w:cs="Times New Roman"/>
                <w:sz w:val="18"/>
                <w:szCs w:val="22"/>
              </w:rPr>
            </w:pPr>
            <w:r w:rsidRPr="00D70686">
              <w:rPr>
                <w:rFonts w:ascii="Times New Roman" w:hAnsi="Times New Roman" w:cs="Times New Roman"/>
                <w:sz w:val="18"/>
                <w:szCs w:val="22"/>
              </w:rPr>
              <w:t>0.708</w:t>
            </w:r>
          </w:p>
        </w:tc>
        <w:tc>
          <w:tcPr>
            <w:tcW w:w="989" w:type="dxa"/>
            <w:noWrap/>
            <w:vAlign w:val="center"/>
          </w:tcPr>
          <w:p w14:paraId="36780F13" w14:textId="77777777" w:rsidR="00BF0F78" w:rsidRPr="00D70686" w:rsidRDefault="00000000">
            <w:pPr>
              <w:widowControl w:val="0"/>
              <w:overflowPunct w:val="0"/>
              <w:adjustRightInd w:val="0"/>
              <w:snapToGrid w:val="0"/>
              <w:spacing w:after="0" w:line="240" w:lineRule="auto"/>
              <w:rPr>
                <w:rFonts w:ascii="Times New Roman" w:hAnsi="Times New Roman" w:cs="Times New Roman"/>
                <w:sz w:val="18"/>
                <w:szCs w:val="22"/>
              </w:rPr>
            </w:pPr>
            <w:r w:rsidRPr="00D70686">
              <w:rPr>
                <w:rFonts w:ascii="Times New Roman" w:hAnsi="Times New Roman" w:cs="Times New Roman"/>
                <w:sz w:val="18"/>
                <w:szCs w:val="22"/>
              </w:rPr>
              <w:t>0.229</w:t>
            </w:r>
          </w:p>
        </w:tc>
        <w:tc>
          <w:tcPr>
            <w:tcW w:w="851" w:type="dxa"/>
            <w:noWrap/>
            <w:vAlign w:val="center"/>
          </w:tcPr>
          <w:p w14:paraId="36E7297D" w14:textId="77777777" w:rsidR="00BF0F78" w:rsidRPr="00D70686" w:rsidRDefault="00000000">
            <w:pPr>
              <w:widowControl w:val="0"/>
              <w:overflowPunct w:val="0"/>
              <w:adjustRightInd w:val="0"/>
              <w:snapToGrid w:val="0"/>
              <w:spacing w:after="0" w:line="240" w:lineRule="auto"/>
              <w:rPr>
                <w:rFonts w:ascii="Times New Roman" w:hAnsi="Times New Roman" w:cs="Times New Roman"/>
                <w:sz w:val="18"/>
                <w:szCs w:val="22"/>
              </w:rPr>
            </w:pPr>
            <w:r w:rsidRPr="00D70686">
              <w:rPr>
                <w:rFonts w:ascii="Times New Roman" w:hAnsi="Times New Roman" w:cs="Times New Roman"/>
                <w:sz w:val="18"/>
                <w:szCs w:val="22"/>
              </w:rPr>
              <w:t>0.003</w:t>
            </w:r>
          </w:p>
        </w:tc>
        <w:tc>
          <w:tcPr>
            <w:tcW w:w="939" w:type="dxa"/>
            <w:noWrap/>
            <w:vAlign w:val="center"/>
          </w:tcPr>
          <w:p w14:paraId="5D2F753A" w14:textId="77777777" w:rsidR="00BF0F78" w:rsidRPr="00D70686" w:rsidRDefault="00000000">
            <w:pPr>
              <w:widowControl w:val="0"/>
              <w:overflowPunct w:val="0"/>
              <w:adjustRightInd w:val="0"/>
              <w:snapToGrid w:val="0"/>
              <w:spacing w:after="0" w:line="240" w:lineRule="auto"/>
              <w:rPr>
                <w:rFonts w:ascii="Times New Roman" w:hAnsi="Times New Roman" w:cs="Times New Roman"/>
                <w:sz w:val="18"/>
                <w:szCs w:val="22"/>
              </w:rPr>
            </w:pPr>
            <w:r w:rsidRPr="00D70686">
              <w:rPr>
                <w:rFonts w:ascii="Times New Roman" w:hAnsi="Times New Roman" w:cs="Times New Roman"/>
                <w:sz w:val="18"/>
                <w:szCs w:val="22"/>
              </w:rPr>
              <w:t>1</w:t>
            </w:r>
          </w:p>
        </w:tc>
        <w:tc>
          <w:tcPr>
            <w:tcW w:w="922" w:type="dxa"/>
            <w:noWrap/>
            <w:vAlign w:val="center"/>
          </w:tcPr>
          <w:p w14:paraId="00B12397" w14:textId="77777777" w:rsidR="00BF0F78" w:rsidRPr="00D70686" w:rsidRDefault="00BF0F78">
            <w:pPr>
              <w:widowControl w:val="0"/>
              <w:overflowPunct w:val="0"/>
              <w:adjustRightInd w:val="0"/>
              <w:snapToGrid w:val="0"/>
              <w:spacing w:after="0" w:line="240" w:lineRule="auto"/>
              <w:rPr>
                <w:rFonts w:ascii="Times New Roman" w:hAnsi="Times New Roman" w:cs="Times New Roman"/>
                <w:sz w:val="18"/>
                <w:szCs w:val="22"/>
              </w:rPr>
            </w:pPr>
          </w:p>
        </w:tc>
      </w:tr>
      <w:tr w:rsidR="009966AD" w:rsidRPr="00D70686" w14:paraId="5B601884" w14:textId="77777777">
        <w:trPr>
          <w:cantSplit/>
        </w:trPr>
        <w:tc>
          <w:tcPr>
            <w:tcW w:w="939" w:type="dxa"/>
            <w:noWrap/>
            <w:vAlign w:val="center"/>
          </w:tcPr>
          <w:p w14:paraId="2563A145" w14:textId="77777777" w:rsidR="00BF0F78" w:rsidRPr="00D70686" w:rsidRDefault="00000000">
            <w:pPr>
              <w:widowControl w:val="0"/>
              <w:overflowPunct w:val="0"/>
              <w:adjustRightInd w:val="0"/>
              <w:snapToGrid w:val="0"/>
              <w:spacing w:after="0" w:line="240" w:lineRule="auto"/>
              <w:rPr>
                <w:rFonts w:ascii="Times New Roman" w:hAnsi="Times New Roman" w:cs="Times New Roman"/>
                <w:iCs/>
                <w:sz w:val="18"/>
                <w:szCs w:val="22"/>
              </w:rPr>
            </w:pPr>
            <m:oMathPara>
              <m:oMathParaPr>
                <m:jc m:val="left"/>
              </m:oMathParaPr>
              <m:oMath>
                <m:r>
                  <m:rPr>
                    <m:sty m:val="p"/>
                  </m:rPr>
                  <w:rPr>
                    <w:rFonts w:ascii="Cambria Math" w:hAnsi="Cambria Math" w:cs="Times New Roman"/>
                    <w:sz w:val="18"/>
                    <w:szCs w:val="22"/>
                  </w:rPr>
                  <m:t>GOVEF</m:t>
                </m:r>
              </m:oMath>
            </m:oMathPara>
          </w:p>
        </w:tc>
        <w:tc>
          <w:tcPr>
            <w:tcW w:w="898" w:type="dxa"/>
            <w:noWrap/>
            <w:vAlign w:val="center"/>
          </w:tcPr>
          <w:p w14:paraId="7A2E8AB9" w14:textId="77777777" w:rsidR="00BF0F78" w:rsidRPr="00D70686" w:rsidRDefault="00000000">
            <w:pPr>
              <w:widowControl w:val="0"/>
              <w:overflowPunct w:val="0"/>
              <w:adjustRightInd w:val="0"/>
              <w:snapToGrid w:val="0"/>
              <w:spacing w:after="0" w:line="240" w:lineRule="auto"/>
              <w:rPr>
                <w:rFonts w:ascii="Times New Roman" w:hAnsi="Times New Roman" w:cs="Times New Roman"/>
                <w:sz w:val="18"/>
                <w:szCs w:val="22"/>
              </w:rPr>
            </w:pPr>
            <w:r w:rsidRPr="00D70686">
              <w:rPr>
                <w:rFonts w:ascii="Times New Roman" w:hAnsi="Times New Roman" w:cs="Times New Roman"/>
                <w:sz w:val="18"/>
                <w:szCs w:val="22"/>
              </w:rPr>
              <w:t>0.590</w:t>
            </w:r>
          </w:p>
        </w:tc>
        <w:tc>
          <w:tcPr>
            <w:tcW w:w="989" w:type="dxa"/>
            <w:noWrap/>
            <w:vAlign w:val="center"/>
          </w:tcPr>
          <w:p w14:paraId="668CDBAB" w14:textId="77777777" w:rsidR="00BF0F78" w:rsidRPr="00D70686" w:rsidRDefault="00000000">
            <w:pPr>
              <w:widowControl w:val="0"/>
              <w:overflowPunct w:val="0"/>
              <w:adjustRightInd w:val="0"/>
              <w:snapToGrid w:val="0"/>
              <w:spacing w:after="0" w:line="240" w:lineRule="auto"/>
              <w:rPr>
                <w:rFonts w:ascii="Times New Roman" w:hAnsi="Times New Roman" w:cs="Times New Roman"/>
                <w:sz w:val="18"/>
                <w:szCs w:val="22"/>
              </w:rPr>
            </w:pPr>
            <w:r w:rsidRPr="00D70686">
              <w:rPr>
                <w:rFonts w:ascii="Times New Roman" w:hAnsi="Times New Roman" w:cs="Times New Roman"/>
                <w:sz w:val="18"/>
                <w:szCs w:val="22"/>
              </w:rPr>
              <w:t>−0.037</w:t>
            </w:r>
          </w:p>
        </w:tc>
        <w:tc>
          <w:tcPr>
            <w:tcW w:w="851" w:type="dxa"/>
            <w:noWrap/>
            <w:vAlign w:val="center"/>
          </w:tcPr>
          <w:p w14:paraId="44D42C7A" w14:textId="77777777" w:rsidR="00BF0F78" w:rsidRPr="00D70686" w:rsidRDefault="00000000">
            <w:pPr>
              <w:widowControl w:val="0"/>
              <w:overflowPunct w:val="0"/>
              <w:adjustRightInd w:val="0"/>
              <w:snapToGrid w:val="0"/>
              <w:spacing w:after="0" w:line="240" w:lineRule="auto"/>
              <w:rPr>
                <w:rFonts w:ascii="Times New Roman" w:hAnsi="Times New Roman" w:cs="Times New Roman"/>
                <w:sz w:val="18"/>
                <w:szCs w:val="22"/>
              </w:rPr>
            </w:pPr>
            <w:r w:rsidRPr="00D70686">
              <w:rPr>
                <w:rFonts w:ascii="Times New Roman" w:hAnsi="Times New Roman" w:cs="Times New Roman"/>
                <w:sz w:val="18"/>
                <w:szCs w:val="22"/>
              </w:rPr>
              <w:t>0.299</w:t>
            </w:r>
          </w:p>
        </w:tc>
        <w:tc>
          <w:tcPr>
            <w:tcW w:w="939" w:type="dxa"/>
            <w:noWrap/>
            <w:vAlign w:val="center"/>
          </w:tcPr>
          <w:p w14:paraId="1ABB19BE" w14:textId="77777777" w:rsidR="00BF0F78" w:rsidRPr="00D70686" w:rsidRDefault="00000000">
            <w:pPr>
              <w:widowControl w:val="0"/>
              <w:overflowPunct w:val="0"/>
              <w:adjustRightInd w:val="0"/>
              <w:snapToGrid w:val="0"/>
              <w:spacing w:after="0" w:line="240" w:lineRule="auto"/>
              <w:rPr>
                <w:rFonts w:ascii="Times New Roman" w:hAnsi="Times New Roman" w:cs="Times New Roman"/>
                <w:sz w:val="18"/>
                <w:szCs w:val="22"/>
              </w:rPr>
            </w:pPr>
            <w:r w:rsidRPr="00D70686">
              <w:rPr>
                <w:rFonts w:ascii="Times New Roman" w:hAnsi="Times New Roman" w:cs="Times New Roman"/>
                <w:sz w:val="18"/>
                <w:szCs w:val="22"/>
              </w:rPr>
              <w:t>0.376</w:t>
            </w:r>
          </w:p>
        </w:tc>
        <w:tc>
          <w:tcPr>
            <w:tcW w:w="922" w:type="dxa"/>
            <w:noWrap/>
            <w:vAlign w:val="center"/>
          </w:tcPr>
          <w:p w14:paraId="16D74433" w14:textId="77777777" w:rsidR="00BF0F78" w:rsidRPr="00D70686" w:rsidRDefault="00000000">
            <w:pPr>
              <w:widowControl w:val="0"/>
              <w:overflowPunct w:val="0"/>
              <w:adjustRightInd w:val="0"/>
              <w:snapToGrid w:val="0"/>
              <w:spacing w:after="0" w:line="240" w:lineRule="auto"/>
              <w:rPr>
                <w:rFonts w:ascii="Times New Roman" w:hAnsi="Times New Roman" w:cs="Times New Roman"/>
                <w:sz w:val="18"/>
                <w:szCs w:val="22"/>
              </w:rPr>
            </w:pPr>
            <w:r w:rsidRPr="00D70686">
              <w:rPr>
                <w:rFonts w:ascii="Times New Roman" w:hAnsi="Times New Roman" w:cs="Times New Roman"/>
                <w:sz w:val="18"/>
                <w:szCs w:val="22"/>
              </w:rPr>
              <w:t>1</w:t>
            </w:r>
          </w:p>
        </w:tc>
      </w:tr>
    </w:tbl>
    <w:p w14:paraId="66C8CA66" w14:textId="77777777" w:rsidR="00BF0F78" w:rsidRPr="009B1BB3" w:rsidRDefault="00000000">
      <w:pPr>
        <w:widowControl w:val="0"/>
        <w:overflowPunct w:val="0"/>
        <w:adjustRightInd w:val="0"/>
        <w:snapToGrid w:val="0"/>
        <w:spacing w:after="240" w:line="240" w:lineRule="auto"/>
        <w:ind w:left="2948"/>
        <w:rPr>
          <w:sz w:val="18"/>
        </w:rPr>
      </w:pPr>
      <w:r w:rsidRPr="009B1BB3">
        <w:rPr>
          <w:sz w:val="18"/>
        </w:rPr>
        <w:t>Source: authors’ computation.</w:t>
      </w:r>
    </w:p>
    <w:p w14:paraId="4009917B" w14:textId="77777777" w:rsidR="00BF0F78" w:rsidRPr="009B1BB3" w:rsidRDefault="00000000">
      <w:pPr>
        <w:widowControl w:val="0"/>
        <w:overflowPunct w:val="0"/>
        <w:adjustRightInd w:val="0"/>
        <w:snapToGrid w:val="0"/>
        <w:spacing w:before="240" w:after="60" w:line="288" w:lineRule="auto"/>
        <w:ind w:left="2948"/>
        <w:rPr>
          <w:b/>
          <w:sz w:val="24"/>
        </w:rPr>
      </w:pPr>
      <w:r w:rsidRPr="009B1BB3">
        <w:rPr>
          <w:b/>
          <w:sz w:val="24"/>
        </w:rPr>
        <w:t>4.2. Unit root test</w:t>
      </w:r>
    </w:p>
    <w:p w14:paraId="3A1A231E" w14:textId="77777777" w:rsidR="00E51B48" w:rsidRPr="009B1BB3" w:rsidRDefault="00E51B48" w:rsidP="00E51B48">
      <w:pPr>
        <w:widowControl w:val="0"/>
        <w:overflowPunct w:val="0"/>
        <w:adjustRightInd w:val="0"/>
        <w:snapToGrid w:val="0"/>
        <w:spacing w:before="240" w:after="60" w:line="288" w:lineRule="auto"/>
        <w:jc w:val="center"/>
      </w:pPr>
      <w:r w:rsidRPr="009B1BB3">
        <w:rPr>
          <w:b/>
        </w:rPr>
        <w:t>Table 4.</w:t>
      </w:r>
      <w:r w:rsidRPr="009B1BB3">
        <w:t xml:space="preserve"> Unit root tests output.</w:t>
      </w:r>
    </w:p>
    <w:tbl>
      <w:tblPr>
        <w:tblStyle w:val="15"/>
        <w:tblW w:w="5000" w:type="pct"/>
        <w:tblBorders>
          <w:top w:val="single" w:sz="8" w:space="0" w:color="auto"/>
          <w:left w:val="none" w:sz="0" w:space="0" w:color="auto"/>
          <w:bottom w:val="single" w:sz="8"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669"/>
        <w:gridCol w:w="1168"/>
        <w:gridCol w:w="1771"/>
        <w:gridCol w:w="1960"/>
        <w:gridCol w:w="1168"/>
        <w:gridCol w:w="1771"/>
        <w:gridCol w:w="1960"/>
      </w:tblGrid>
      <w:tr w:rsidR="00E51B48" w:rsidRPr="00D81D10" w14:paraId="4B3B731A" w14:textId="77777777" w:rsidTr="00F4591E">
        <w:trPr>
          <w:trHeight w:val="33"/>
        </w:trPr>
        <w:tc>
          <w:tcPr>
            <w:tcW w:w="0" w:type="auto"/>
            <w:tcBorders>
              <w:top w:val="single" w:sz="8" w:space="0" w:color="auto"/>
              <w:bottom w:val="single" w:sz="4" w:space="0" w:color="auto"/>
            </w:tcBorders>
            <w:vAlign w:val="center"/>
          </w:tcPr>
          <w:p w14:paraId="17C2100A" w14:textId="77777777" w:rsidR="00E51B48" w:rsidRPr="00D81D10" w:rsidRDefault="00E51B48" w:rsidP="00F4591E">
            <w:pPr>
              <w:widowControl w:val="0"/>
              <w:overflowPunct w:val="0"/>
              <w:adjustRightInd w:val="0"/>
              <w:snapToGrid w:val="0"/>
              <w:spacing w:after="0" w:line="240" w:lineRule="auto"/>
              <w:rPr>
                <w:rFonts w:ascii="Times New Roman" w:hAnsi="Times New Roman" w:cs="Times New Roman"/>
                <w:b/>
                <w:bCs/>
                <w:sz w:val="18"/>
                <w:szCs w:val="18"/>
              </w:rPr>
            </w:pPr>
          </w:p>
        </w:tc>
        <w:tc>
          <w:tcPr>
            <w:tcW w:w="0" w:type="auto"/>
            <w:gridSpan w:val="3"/>
            <w:tcBorders>
              <w:top w:val="single" w:sz="8" w:space="0" w:color="auto"/>
              <w:bottom w:val="single" w:sz="4" w:space="0" w:color="auto"/>
            </w:tcBorders>
            <w:vAlign w:val="center"/>
          </w:tcPr>
          <w:p w14:paraId="0AEE16D1" w14:textId="77777777" w:rsidR="00E51B48" w:rsidRPr="00D81D10" w:rsidRDefault="00E51B48" w:rsidP="00F4591E">
            <w:pPr>
              <w:widowControl w:val="0"/>
              <w:overflowPunct w:val="0"/>
              <w:adjustRightInd w:val="0"/>
              <w:snapToGrid w:val="0"/>
              <w:spacing w:after="0" w:line="240" w:lineRule="auto"/>
              <w:rPr>
                <w:rFonts w:ascii="Times New Roman" w:hAnsi="Times New Roman" w:cs="Times New Roman"/>
                <w:b/>
                <w:bCs/>
                <w:sz w:val="18"/>
                <w:szCs w:val="18"/>
              </w:rPr>
            </w:pPr>
            <w:r w:rsidRPr="00D81D10">
              <w:rPr>
                <w:rFonts w:ascii="Times New Roman" w:hAnsi="Times New Roman" w:cs="Times New Roman"/>
                <w:b/>
                <w:bCs/>
                <w:sz w:val="18"/>
                <w:szCs w:val="18"/>
              </w:rPr>
              <w:t>PP unit root test</w:t>
            </w:r>
          </w:p>
        </w:tc>
        <w:tc>
          <w:tcPr>
            <w:tcW w:w="0" w:type="auto"/>
            <w:gridSpan w:val="3"/>
            <w:tcBorders>
              <w:top w:val="single" w:sz="8" w:space="0" w:color="auto"/>
              <w:bottom w:val="single" w:sz="4" w:space="0" w:color="auto"/>
            </w:tcBorders>
            <w:vAlign w:val="center"/>
          </w:tcPr>
          <w:p w14:paraId="6AEE18D4" w14:textId="77777777" w:rsidR="00E51B48" w:rsidRPr="00D81D10" w:rsidRDefault="00E51B48" w:rsidP="00F4591E">
            <w:pPr>
              <w:widowControl w:val="0"/>
              <w:overflowPunct w:val="0"/>
              <w:adjustRightInd w:val="0"/>
              <w:snapToGrid w:val="0"/>
              <w:spacing w:after="0" w:line="240" w:lineRule="auto"/>
              <w:rPr>
                <w:rFonts w:ascii="Times New Roman" w:hAnsi="Times New Roman" w:cs="Times New Roman"/>
                <w:b/>
                <w:bCs/>
                <w:sz w:val="18"/>
                <w:szCs w:val="18"/>
              </w:rPr>
            </w:pPr>
            <w:r w:rsidRPr="00D81D10">
              <w:rPr>
                <w:rFonts w:ascii="Times New Roman" w:hAnsi="Times New Roman" w:cs="Times New Roman"/>
                <w:b/>
                <w:bCs/>
                <w:sz w:val="18"/>
                <w:szCs w:val="18"/>
              </w:rPr>
              <w:t>ADF unit root test</w:t>
            </w:r>
          </w:p>
        </w:tc>
      </w:tr>
      <w:tr w:rsidR="00E51B48" w:rsidRPr="00D81D10" w14:paraId="55DCFFD3" w14:textId="77777777" w:rsidTr="00F4591E">
        <w:tc>
          <w:tcPr>
            <w:tcW w:w="0" w:type="auto"/>
            <w:tcBorders>
              <w:top w:val="single" w:sz="4" w:space="0" w:color="auto"/>
              <w:bottom w:val="single" w:sz="4" w:space="0" w:color="auto"/>
            </w:tcBorders>
            <w:vAlign w:val="center"/>
          </w:tcPr>
          <w:p w14:paraId="42BB907A" w14:textId="77777777" w:rsidR="00E51B48" w:rsidRPr="00D81D10" w:rsidRDefault="00E51B48" w:rsidP="00F4591E">
            <w:pPr>
              <w:widowControl w:val="0"/>
              <w:overflowPunct w:val="0"/>
              <w:adjustRightInd w:val="0"/>
              <w:snapToGrid w:val="0"/>
              <w:spacing w:after="0" w:line="240" w:lineRule="auto"/>
              <w:rPr>
                <w:rFonts w:ascii="Times New Roman" w:hAnsi="Times New Roman" w:cs="Times New Roman"/>
                <w:b/>
                <w:bCs/>
                <w:sz w:val="18"/>
                <w:szCs w:val="18"/>
              </w:rPr>
            </w:pPr>
          </w:p>
        </w:tc>
        <w:tc>
          <w:tcPr>
            <w:tcW w:w="0" w:type="auto"/>
            <w:tcBorders>
              <w:top w:val="single" w:sz="4" w:space="0" w:color="auto"/>
              <w:bottom w:val="single" w:sz="4" w:space="0" w:color="auto"/>
            </w:tcBorders>
            <w:vAlign w:val="center"/>
          </w:tcPr>
          <w:p w14:paraId="30A25E9B" w14:textId="77777777" w:rsidR="00E51B48" w:rsidRPr="00D81D10" w:rsidRDefault="00E51B48" w:rsidP="00F4591E">
            <w:pPr>
              <w:widowControl w:val="0"/>
              <w:overflowPunct w:val="0"/>
              <w:adjustRightInd w:val="0"/>
              <w:snapToGrid w:val="0"/>
              <w:spacing w:after="0" w:line="240" w:lineRule="auto"/>
              <w:rPr>
                <w:rFonts w:ascii="Times New Roman" w:hAnsi="Times New Roman" w:cs="Times New Roman"/>
                <w:b/>
                <w:bCs/>
                <w:sz w:val="18"/>
                <w:szCs w:val="18"/>
              </w:rPr>
            </w:pPr>
            <w:r w:rsidRPr="00D81D10">
              <w:rPr>
                <w:rFonts w:ascii="Times New Roman" w:hAnsi="Times New Roman" w:cs="Times New Roman"/>
                <w:b/>
                <w:bCs/>
                <w:sz w:val="18"/>
                <w:szCs w:val="18"/>
              </w:rPr>
              <w:t>With constant</w:t>
            </w:r>
          </w:p>
        </w:tc>
        <w:tc>
          <w:tcPr>
            <w:tcW w:w="0" w:type="auto"/>
            <w:tcBorders>
              <w:top w:val="single" w:sz="4" w:space="0" w:color="auto"/>
              <w:bottom w:val="single" w:sz="4" w:space="0" w:color="auto"/>
            </w:tcBorders>
            <w:vAlign w:val="center"/>
          </w:tcPr>
          <w:p w14:paraId="60142252" w14:textId="77777777" w:rsidR="00E51B48" w:rsidRPr="00D81D10" w:rsidRDefault="00E51B48" w:rsidP="00F4591E">
            <w:pPr>
              <w:widowControl w:val="0"/>
              <w:overflowPunct w:val="0"/>
              <w:adjustRightInd w:val="0"/>
              <w:snapToGrid w:val="0"/>
              <w:spacing w:after="0" w:line="240" w:lineRule="auto"/>
              <w:rPr>
                <w:rFonts w:ascii="Times New Roman" w:hAnsi="Times New Roman" w:cs="Times New Roman"/>
                <w:b/>
                <w:bCs/>
                <w:sz w:val="18"/>
                <w:szCs w:val="18"/>
              </w:rPr>
            </w:pPr>
            <w:r w:rsidRPr="00D81D10">
              <w:rPr>
                <w:rFonts w:ascii="Times New Roman" w:hAnsi="Times New Roman" w:cs="Times New Roman"/>
                <w:b/>
                <w:bCs/>
                <w:sz w:val="18"/>
                <w:szCs w:val="18"/>
              </w:rPr>
              <w:t>With constant and trend</w:t>
            </w:r>
          </w:p>
        </w:tc>
        <w:tc>
          <w:tcPr>
            <w:tcW w:w="0" w:type="auto"/>
            <w:tcBorders>
              <w:top w:val="single" w:sz="4" w:space="0" w:color="auto"/>
              <w:bottom w:val="single" w:sz="4" w:space="0" w:color="auto"/>
            </w:tcBorders>
            <w:vAlign w:val="center"/>
          </w:tcPr>
          <w:p w14:paraId="7F757E99" w14:textId="77777777" w:rsidR="00E51B48" w:rsidRPr="00D81D10" w:rsidRDefault="00E51B48" w:rsidP="00F4591E">
            <w:pPr>
              <w:widowControl w:val="0"/>
              <w:overflowPunct w:val="0"/>
              <w:adjustRightInd w:val="0"/>
              <w:snapToGrid w:val="0"/>
              <w:spacing w:after="0" w:line="240" w:lineRule="auto"/>
              <w:rPr>
                <w:rFonts w:ascii="Times New Roman" w:hAnsi="Times New Roman" w:cs="Times New Roman"/>
                <w:b/>
                <w:bCs/>
                <w:sz w:val="18"/>
                <w:szCs w:val="18"/>
              </w:rPr>
            </w:pPr>
            <w:r w:rsidRPr="00D81D10">
              <w:rPr>
                <w:rFonts w:ascii="Times New Roman" w:hAnsi="Times New Roman" w:cs="Times New Roman"/>
                <w:b/>
                <w:bCs/>
                <w:sz w:val="18"/>
                <w:szCs w:val="18"/>
              </w:rPr>
              <w:t>Without constant and trend</w:t>
            </w:r>
          </w:p>
        </w:tc>
        <w:tc>
          <w:tcPr>
            <w:tcW w:w="0" w:type="auto"/>
            <w:tcBorders>
              <w:top w:val="single" w:sz="4" w:space="0" w:color="auto"/>
              <w:bottom w:val="single" w:sz="4" w:space="0" w:color="auto"/>
            </w:tcBorders>
            <w:vAlign w:val="center"/>
          </w:tcPr>
          <w:p w14:paraId="5986B97A" w14:textId="77777777" w:rsidR="00E51B48" w:rsidRPr="00D81D10" w:rsidRDefault="00E51B48" w:rsidP="00F4591E">
            <w:pPr>
              <w:widowControl w:val="0"/>
              <w:overflowPunct w:val="0"/>
              <w:adjustRightInd w:val="0"/>
              <w:snapToGrid w:val="0"/>
              <w:spacing w:after="0" w:line="240" w:lineRule="auto"/>
              <w:rPr>
                <w:rFonts w:ascii="Times New Roman" w:hAnsi="Times New Roman" w:cs="Times New Roman"/>
                <w:b/>
                <w:bCs/>
                <w:sz w:val="18"/>
                <w:szCs w:val="18"/>
              </w:rPr>
            </w:pPr>
            <w:r w:rsidRPr="00D81D10">
              <w:rPr>
                <w:rFonts w:ascii="Times New Roman" w:hAnsi="Times New Roman" w:cs="Times New Roman"/>
                <w:b/>
                <w:bCs/>
                <w:sz w:val="18"/>
                <w:szCs w:val="18"/>
              </w:rPr>
              <w:t>With constant</w:t>
            </w:r>
          </w:p>
        </w:tc>
        <w:tc>
          <w:tcPr>
            <w:tcW w:w="0" w:type="auto"/>
            <w:tcBorders>
              <w:top w:val="single" w:sz="4" w:space="0" w:color="auto"/>
              <w:bottom w:val="single" w:sz="4" w:space="0" w:color="auto"/>
            </w:tcBorders>
            <w:vAlign w:val="center"/>
          </w:tcPr>
          <w:p w14:paraId="20866DF1" w14:textId="77777777" w:rsidR="00E51B48" w:rsidRPr="00D81D10" w:rsidRDefault="00E51B48" w:rsidP="00F4591E">
            <w:pPr>
              <w:widowControl w:val="0"/>
              <w:overflowPunct w:val="0"/>
              <w:adjustRightInd w:val="0"/>
              <w:snapToGrid w:val="0"/>
              <w:spacing w:after="0" w:line="240" w:lineRule="auto"/>
              <w:rPr>
                <w:rFonts w:ascii="Times New Roman" w:hAnsi="Times New Roman" w:cs="Times New Roman"/>
                <w:b/>
                <w:bCs/>
                <w:sz w:val="18"/>
                <w:szCs w:val="18"/>
              </w:rPr>
            </w:pPr>
            <w:r w:rsidRPr="00D81D10">
              <w:rPr>
                <w:rFonts w:ascii="Times New Roman" w:hAnsi="Times New Roman" w:cs="Times New Roman"/>
                <w:b/>
                <w:bCs/>
                <w:sz w:val="18"/>
                <w:szCs w:val="18"/>
              </w:rPr>
              <w:t>With constant and trend</w:t>
            </w:r>
          </w:p>
        </w:tc>
        <w:tc>
          <w:tcPr>
            <w:tcW w:w="0" w:type="auto"/>
            <w:tcBorders>
              <w:top w:val="single" w:sz="4" w:space="0" w:color="auto"/>
              <w:bottom w:val="single" w:sz="4" w:space="0" w:color="auto"/>
            </w:tcBorders>
            <w:vAlign w:val="center"/>
          </w:tcPr>
          <w:p w14:paraId="60346A40" w14:textId="77777777" w:rsidR="00E51B48" w:rsidRPr="00D81D10" w:rsidRDefault="00E51B48" w:rsidP="00F4591E">
            <w:pPr>
              <w:widowControl w:val="0"/>
              <w:overflowPunct w:val="0"/>
              <w:adjustRightInd w:val="0"/>
              <w:snapToGrid w:val="0"/>
              <w:spacing w:after="0" w:line="240" w:lineRule="auto"/>
              <w:rPr>
                <w:rFonts w:ascii="Times New Roman" w:hAnsi="Times New Roman" w:cs="Times New Roman"/>
                <w:b/>
                <w:bCs/>
                <w:sz w:val="18"/>
                <w:szCs w:val="18"/>
              </w:rPr>
            </w:pPr>
            <w:r w:rsidRPr="00D81D10">
              <w:rPr>
                <w:rFonts w:ascii="Times New Roman" w:hAnsi="Times New Roman" w:cs="Times New Roman"/>
                <w:b/>
                <w:bCs/>
                <w:sz w:val="18"/>
                <w:szCs w:val="18"/>
              </w:rPr>
              <w:t>Without constant and trend</w:t>
            </w:r>
          </w:p>
        </w:tc>
      </w:tr>
      <w:tr w:rsidR="00E51B48" w:rsidRPr="00D81D10" w14:paraId="620C5642" w14:textId="77777777" w:rsidTr="00F4591E">
        <w:tc>
          <w:tcPr>
            <w:tcW w:w="0" w:type="auto"/>
            <w:tcBorders>
              <w:top w:val="single" w:sz="4" w:space="0" w:color="auto"/>
            </w:tcBorders>
            <w:vAlign w:val="center"/>
          </w:tcPr>
          <w:p w14:paraId="1A4F350B" w14:textId="77777777" w:rsidR="00E51B48" w:rsidRPr="00D81D10" w:rsidRDefault="00E51B48" w:rsidP="00F4591E">
            <w:pPr>
              <w:widowControl w:val="0"/>
              <w:overflowPunct w:val="0"/>
              <w:adjustRightInd w:val="0"/>
              <w:snapToGrid w:val="0"/>
              <w:spacing w:after="0" w:line="240" w:lineRule="auto"/>
              <w:jc w:val="both"/>
              <w:rPr>
                <w:rFonts w:ascii="Times New Roman" w:hAnsi="Times New Roman" w:cs="Times New Roman"/>
                <w:iCs/>
                <w:sz w:val="18"/>
                <w:szCs w:val="18"/>
              </w:rPr>
            </w:pPr>
            <m:oMathPara>
              <m:oMathParaPr>
                <m:jc m:val="left"/>
              </m:oMathParaPr>
              <m:oMath>
                <m:r>
                  <m:rPr>
                    <m:sty m:val="p"/>
                  </m:rPr>
                  <w:rPr>
                    <w:rFonts w:ascii="Cambria Math" w:hAnsi="Cambria Math" w:cs="Times New Roman"/>
                    <w:sz w:val="18"/>
                    <w:szCs w:val="18"/>
                  </w:rPr>
                  <m:t>PGI</m:t>
                </m:r>
              </m:oMath>
            </m:oMathPara>
          </w:p>
        </w:tc>
        <w:tc>
          <w:tcPr>
            <w:tcW w:w="0" w:type="auto"/>
            <w:tcBorders>
              <w:top w:val="single" w:sz="4" w:space="0" w:color="auto"/>
            </w:tcBorders>
            <w:vAlign w:val="center"/>
          </w:tcPr>
          <w:p w14:paraId="6BB2B658" w14:textId="77777777" w:rsidR="00E51B48" w:rsidRPr="00D81D10" w:rsidRDefault="00E51B48" w:rsidP="00F4591E">
            <w:pPr>
              <w:widowControl w:val="0"/>
              <w:overflowPunct w:val="0"/>
              <w:adjustRightInd w:val="0"/>
              <w:snapToGrid w:val="0"/>
              <w:spacing w:after="0" w:line="240" w:lineRule="auto"/>
              <w:rPr>
                <w:rFonts w:ascii="Times New Roman" w:hAnsi="Times New Roman" w:cs="Times New Roman"/>
                <w:sz w:val="18"/>
                <w:szCs w:val="18"/>
              </w:rPr>
            </w:pPr>
            <w:r w:rsidRPr="00D81D10">
              <w:rPr>
                <w:rFonts w:ascii="Times New Roman" w:hAnsi="Times New Roman" w:cs="Times New Roman"/>
                <w:sz w:val="18"/>
                <w:szCs w:val="18"/>
              </w:rPr>
              <w:t>−5.462***b</w:t>
            </w:r>
          </w:p>
        </w:tc>
        <w:tc>
          <w:tcPr>
            <w:tcW w:w="0" w:type="auto"/>
            <w:tcBorders>
              <w:top w:val="single" w:sz="4" w:space="0" w:color="auto"/>
            </w:tcBorders>
            <w:vAlign w:val="center"/>
          </w:tcPr>
          <w:p w14:paraId="420A3585" w14:textId="77777777" w:rsidR="00E51B48" w:rsidRPr="00D81D10" w:rsidRDefault="00E51B48" w:rsidP="00F4591E">
            <w:pPr>
              <w:widowControl w:val="0"/>
              <w:overflowPunct w:val="0"/>
              <w:adjustRightInd w:val="0"/>
              <w:snapToGrid w:val="0"/>
              <w:spacing w:after="0" w:line="240" w:lineRule="auto"/>
              <w:rPr>
                <w:rFonts w:ascii="Times New Roman" w:hAnsi="Times New Roman" w:cs="Times New Roman"/>
                <w:sz w:val="18"/>
                <w:szCs w:val="18"/>
              </w:rPr>
            </w:pPr>
            <w:r w:rsidRPr="00D81D10">
              <w:rPr>
                <w:rFonts w:ascii="Times New Roman" w:hAnsi="Times New Roman" w:cs="Times New Roman"/>
                <w:sz w:val="18"/>
                <w:szCs w:val="18"/>
              </w:rPr>
              <w:t>−5.557***b</w:t>
            </w:r>
          </w:p>
        </w:tc>
        <w:tc>
          <w:tcPr>
            <w:tcW w:w="0" w:type="auto"/>
            <w:tcBorders>
              <w:top w:val="single" w:sz="4" w:space="0" w:color="auto"/>
            </w:tcBorders>
            <w:vAlign w:val="center"/>
          </w:tcPr>
          <w:p w14:paraId="1CB40A5B" w14:textId="77777777" w:rsidR="00E51B48" w:rsidRPr="00D81D10" w:rsidRDefault="00E51B48" w:rsidP="00F4591E">
            <w:pPr>
              <w:widowControl w:val="0"/>
              <w:overflowPunct w:val="0"/>
              <w:adjustRightInd w:val="0"/>
              <w:snapToGrid w:val="0"/>
              <w:spacing w:after="0" w:line="240" w:lineRule="auto"/>
              <w:rPr>
                <w:rFonts w:ascii="Times New Roman" w:hAnsi="Times New Roman" w:cs="Times New Roman"/>
                <w:sz w:val="18"/>
                <w:szCs w:val="18"/>
              </w:rPr>
            </w:pPr>
            <w:r w:rsidRPr="00D81D10">
              <w:rPr>
                <w:rFonts w:ascii="Times New Roman" w:hAnsi="Times New Roman" w:cs="Times New Roman"/>
                <w:sz w:val="18"/>
                <w:szCs w:val="18"/>
              </w:rPr>
              <w:t>−5.477***b</w:t>
            </w:r>
          </w:p>
        </w:tc>
        <w:tc>
          <w:tcPr>
            <w:tcW w:w="0" w:type="auto"/>
            <w:tcBorders>
              <w:top w:val="single" w:sz="4" w:space="0" w:color="auto"/>
            </w:tcBorders>
            <w:vAlign w:val="center"/>
          </w:tcPr>
          <w:p w14:paraId="41FE1322" w14:textId="77777777" w:rsidR="00E51B48" w:rsidRPr="00D81D10" w:rsidRDefault="00E51B48" w:rsidP="00F4591E">
            <w:pPr>
              <w:widowControl w:val="0"/>
              <w:overflowPunct w:val="0"/>
              <w:adjustRightInd w:val="0"/>
              <w:snapToGrid w:val="0"/>
              <w:spacing w:after="0" w:line="240" w:lineRule="auto"/>
              <w:rPr>
                <w:rFonts w:ascii="Times New Roman" w:hAnsi="Times New Roman" w:cs="Times New Roman"/>
                <w:sz w:val="18"/>
                <w:szCs w:val="18"/>
              </w:rPr>
            </w:pPr>
            <w:r w:rsidRPr="00D81D10">
              <w:rPr>
                <w:rFonts w:ascii="Times New Roman" w:hAnsi="Times New Roman" w:cs="Times New Roman"/>
                <w:sz w:val="18"/>
                <w:szCs w:val="18"/>
              </w:rPr>
              <w:t>−5.462***b</w:t>
            </w:r>
          </w:p>
        </w:tc>
        <w:tc>
          <w:tcPr>
            <w:tcW w:w="0" w:type="auto"/>
            <w:tcBorders>
              <w:top w:val="single" w:sz="4" w:space="0" w:color="auto"/>
            </w:tcBorders>
            <w:vAlign w:val="center"/>
          </w:tcPr>
          <w:p w14:paraId="4B30E388" w14:textId="77777777" w:rsidR="00E51B48" w:rsidRPr="00D81D10" w:rsidRDefault="00E51B48" w:rsidP="00F4591E">
            <w:pPr>
              <w:widowControl w:val="0"/>
              <w:overflowPunct w:val="0"/>
              <w:adjustRightInd w:val="0"/>
              <w:snapToGrid w:val="0"/>
              <w:spacing w:after="0" w:line="240" w:lineRule="auto"/>
              <w:rPr>
                <w:rFonts w:ascii="Times New Roman" w:hAnsi="Times New Roman" w:cs="Times New Roman"/>
                <w:sz w:val="18"/>
                <w:szCs w:val="18"/>
              </w:rPr>
            </w:pPr>
            <w:r w:rsidRPr="00D81D10">
              <w:rPr>
                <w:rFonts w:ascii="Times New Roman" w:hAnsi="Times New Roman" w:cs="Times New Roman"/>
                <w:sz w:val="18"/>
                <w:szCs w:val="18"/>
              </w:rPr>
              <w:t>−5.556***b</w:t>
            </w:r>
          </w:p>
        </w:tc>
        <w:tc>
          <w:tcPr>
            <w:tcW w:w="0" w:type="auto"/>
            <w:tcBorders>
              <w:top w:val="single" w:sz="4" w:space="0" w:color="auto"/>
            </w:tcBorders>
            <w:vAlign w:val="center"/>
          </w:tcPr>
          <w:p w14:paraId="2D95ACA1" w14:textId="77777777" w:rsidR="00E51B48" w:rsidRPr="00D81D10" w:rsidRDefault="00E51B48" w:rsidP="00F4591E">
            <w:pPr>
              <w:widowControl w:val="0"/>
              <w:overflowPunct w:val="0"/>
              <w:adjustRightInd w:val="0"/>
              <w:snapToGrid w:val="0"/>
              <w:spacing w:after="0" w:line="240" w:lineRule="auto"/>
              <w:rPr>
                <w:rFonts w:ascii="Times New Roman" w:hAnsi="Times New Roman" w:cs="Times New Roman"/>
                <w:sz w:val="18"/>
                <w:szCs w:val="18"/>
              </w:rPr>
            </w:pPr>
            <w:r w:rsidRPr="00D81D10">
              <w:rPr>
                <w:rFonts w:ascii="Times New Roman" w:hAnsi="Times New Roman" w:cs="Times New Roman"/>
                <w:sz w:val="18"/>
                <w:szCs w:val="18"/>
              </w:rPr>
              <w:t>−5.477***b</w:t>
            </w:r>
          </w:p>
        </w:tc>
      </w:tr>
      <w:tr w:rsidR="00E51B48" w:rsidRPr="00D81D10" w14:paraId="213177C0" w14:textId="77777777" w:rsidTr="00F4591E">
        <w:tc>
          <w:tcPr>
            <w:tcW w:w="0" w:type="auto"/>
            <w:vAlign w:val="center"/>
          </w:tcPr>
          <w:p w14:paraId="0E55FD8B" w14:textId="77777777" w:rsidR="00E51B48" w:rsidRPr="00D81D10" w:rsidRDefault="00E51B48" w:rsidP="00F4591E">
            <w:pPr>
              <w:widowControl w:val="0"/>
              <w:overflowPunct w:val="0"/>
              <w:adjustRightInd w:val="0"/>
              <w:snapToGrid w:val="0"/>
              <w:spacing w:after="0" w:line="240" w:lineRule="auto"/>
              <w:jc w:val="both"/>
              <w:rPr>
                <w:rFonts w:ascii="Times New Roman" w:hAnsi="Times New Roman" w:cs="Times New Roman"/>
                <w:iCs/>
                <w:sz w:val="18"/>
                <w:szCs w:val="18"/>
              </w:rPr>
            </w:pPr>
            <m:oMathPara>
              <m:oMathParaPr>
                <m:jc m:val="left"/>
              </m:oMathParaPr>
              <m:oMath>
                <m:r>
                  <m:rPr>
                    <m:sty m:val="p"/>
                  </m:rPr>
                  <w:rPr>
                    <w:rFonts w:ascii="Cambria Math" w:hAnsi="Cambria Math" w:cs="Times New Roman"/>
                    <w:sz w:val="18"/>
                    <w:szCs w:val="18"/>
                  </w:rPr>
                  <m:t>INQ</m:t>
                </m:r>
              </m:oMath>
            </m:oMathPara>
          </w:p>
        </w:tc>
        <w:tc>
          <w:tcPr>
            <w:tcW w:w="0" w:type="auto"/>
            <w:vAlign w:val="center"/>
          </w:tcPr>
          <w:p w14:paraId="13EC6FA0" w14:textId="77777777" w:rsidR="00E51B48" w:rsidRPr="00D81D10" w:rsidRDefault="00E51B48" w:rsidP="00F4591E">
            <w:pPr>
              <w:widowControl w:val="0"/>
              <w:overflowPunct w:val="0"/>
              <w:adjustRightInd w:val="0"/>
              <w:snapToGrid w:val="0"/>
              <w:spacing w:after="0" w:line="240" w:lineRule="auto"/>
              <w:rPr>
                <w:rFonts w:ascii="Times New Roman" w:hAnsi="Times New Roman" w:cs="Times New Roman"/>
                <w:sz w:val="18"/>
                <w:szCs w:val="18"/>
              </w:rPr>
            </w:pPr>
            <w:r w:rsidRPr="00D81D10">
              <w:rPr>
                <w:rFonts w:ascii="Times New Roman" w:hAnsi="Times New Roman" w:cs="Times New Roman"/>
                <w:sz w:val="18"/>
                <w:szCs w:val="18"/>
              </w:rPr>
              <w:t>−15.536***b</w:t>
            </w:r>
          </w:p>
        </w:tc>
        <w:tc>
          <w:tcPr>
            <w:tcW w:w="0" w:type="auto"/>
            <w:vAlign w:val="center"/>
          </w:tcPr>
          <w:p w14:paraId="70831474" w14:textId="77777777" w:rsidR="00E51B48" w:rsidRPr="00D81D10" w:rsidRDefault="00E51B48" w:rsidP="00F4591E">
            <w:pPr>
              <w:widowControl w:val="0"/>
              <w:overflowPunct w:val="0"/>
              <w:adjustRightInd w:val="0"/>
              <w:snapToGrid w:val="0"/>
              <w:spacing w:after="0" w:line="240" w:lineRule="auto"/>
              <w:rPr>
                <w:rFonts w:ascii="Times New Roman" w:hAnsi="Times New Roman" w:cs="Times New Roman"/>
                <w:sz w:val="18"/>
                <w:szCs w:val="18"/>
              </w:rPr>
            </w:pPr>
            <w:r w:rsidRPr="00D81D10">
              <w:rPr>
                <w:rFonts w:ascii="Times New Roman" w:hAnsi="Times New Roman" w:cs="Times New Roman"/>
                <w:sz w:val="18"/>
                <w:szCs w:val="18"/>
              </w:rPr>
              <w:t>−16.746***b</w:t>
            </w:r>
          </w:p>
        </w:tc>
        <w:tc>
          <w:tcPr>
            <w:tcW w:w="0" w:type="auto"/>
            <w:vAlign w:val="center"/>
          </w:tcPr>
          <w:p w14:paraId="6FB4A358" w14:textId="77777777" w:rsidR="00E51B48" w:rsidRPr="00D81D10" w:rsidRDefault="00E51B48" w:rsidP="00F4591E">
            <w:pPr>
              <w:widowControl w:val="0"/>
              <w:overflowPunct w:val="0"/>
              <w:adjustRightInd w:val="0"/>
              <w:snapToGrid w:val="0"/>
              <w:spacing w:after="0" w:line="240" w:lineRule="auto"/>
              <w:rPr>
                <w:rFonts w:ascii="Times New Roman" w:hAnsi="Times New Roman" w:cs="Times New Roman"/>
                <w:sz w:val="18"/>
                <w:szCs w:val="18"/>
              </w:rPr>
            </w:pPr>
            <w:r w:rsidRPr="00D81D10">
              <w:rPr>
                <w:rFonts w:ascii="Times New Roman" w:hAnsi="Times New Roman" w:cs="Times New Roman"/>
                <w:sz w:val="18"/>
                <w:szCs w:val="18"/>
              </w:rPr>
              <w:t>−15.579***b</w:t>
            </w:r>
          </w:p>
        </w:tc>
        <w:tc>
          <w:tcPr>
            <w:tcW w:w="0" w:type="auto"/>
            <w:vAlign w:val="center"/>
          </w:tcPr>
          <w:p w14:paraId="7FEB54E3" w14:textId="77777777" w:rsidR="00E51B48" w:rsidRPr="00D81D10" w:rsidRDefault="00E51B48" w:rsidP="00F4591E">
            <w:pPr>
              <w:widowControl w:val="0"/>
              <w:overflowPunct w:val="0"/>
              <w:adjustRightInd w:val="0"/>
              <w:snapToGrid w:val="0"/>
              <w:spacing w:after="0" w:line="240" w:lineRule="auto"/>
              <w:rPr>
                <w:rFonts w:ascii="Times New Roman" w:hAnsi="Times New Roman" w:cs="Times New Roman"/>
                <w:sz w:val="18"/>
                <w:szCs w:val="18"/>
              </w:rPr>
            </w:pPr>
            <w:r w:rsidRPr="00D81D10">
              <w:rPr>
                <w:rFonts w:ascii="Times New Roman" w:hAnsi="Times New Roman" w:cs="Times New Roman"/>
                <w:sz w:val="18"/>
                <w:szCs w:val="18"/>
              </w:rPr>
              <w:t>−6.847***b</w:t>
            </w:r>
          </w:p>
        </w:tc>
        <w:tc>
          <w:tcPr>
            <w:tcW w:w="0" w:type="auto"/>
            <w:vAlign w:val="center"/>
          </w:tcPr>
          <w:p w14:paraId="0224744A" w14:textId="77777777" w:rsidR="00E51B48" w:rsidRPr="00D81D10" w:rsidRDefault="00E51B48" w:rsidP="00F4591E">
            <w:pPr>
              <w:widowControl w:val="0"/>
              <w:overflowPunct w:val="0"/>
              <w:adjustRightInd w:val="0"/>
              <w:snapToGrid w:val="0"/>
              <w:spacing w:after="0" w:line="240" w:lineRule="auto"/>
              <w:rPr>
                <w:rFonts w:ascii="Times New Roman" w:hAnsi="Times New Roman" w:cs="Times New Roman"/>
                <w:sz w:val="18"/>
                <w:szCs w:val="18"/>
              </w:rPr>
            </w:pPr>
            <w:r w:rsidRPr="00D81D10">
              <w:rPr>
                <w:rFonts w:ascii="Times New Roman" w:hAnsi="Times New Roman" w:cs="Times New Roman"/>
                <w:sz w:val="18"/>
                <w:szCs w:val="18"/>
              </w:rPr>
              <w:t>−7.097***b</w:t>
            </w:r>
          </w:p>
        </w:tc>
        <w:tc>
          <w:tcPr>
            <w:tcW w:w="0" w:type="auto"/>
            <w:vAlign w:val="center"/>
          </w:tcPr>
          <w:p w14:paraId="4B8DFD0B" w14:textId="77777777" w:rsidR="00E51B48" w:rsidRPr="00D81D10" w:rsidRDefault="00E51B48" w:rsidP="00F4591E">
            <w:pPr>
              <w:widowControl w:val="0"/>
              <w:overflowPunct w:val="0"/>
              <w:adjustRightInd w:val="0"/>
              <w:snapToGrid w:val="0"/>
              <w:spacing w:after="0" w:line="240" w:lineRule="auto"/>
              <w:rPr>
                <w:rFonts w:ascii="Times New Roman" w:hAnsi="Times New Roman" w:cs="Times New Roman"/>
                <w:sz w:val="18"/>
                <w:szCs w:val="18"/>
              </w:rPr>
            </w:pPr>
            <w:r w:rsidRPr="00D81D10">
              <w:rPr>
                <w:rFonts w:ascii="Times New Roman" w:hAnsi="Times New Roman" w:cs="Times New Roman"/>
                <w:sz w:val="18"/>
                <w:szCs w:val="18"/>
              </w:rPr>
              <w:t>−6.985***b</w:t>
            </w:r>
          </w:p>
        </w:tc>
      </w:tr>
      <w:tr w:rsidR="00E51B48" w:rsidRPr="00D81D10" w14:paraId="58D52DF4" w14:textId="77777777" w:rsidTr="00F4591E">
        <w:tc>
          <w:tcPr>
            <w:tcW w:w="0" w:type="auto"/>
            <w:vAlign w:val="center"/>
          </w:tcPr>
          <w:p w14:paraId="01CBC8AF" w14:textId="77777777" w:rsidR="00E51B48" w:rsidRPr="00D81D10" w:rsidRDefault="00E51B48" w:rsidP="00F4591E">
            <w:pPr>
              <w:widowControl w:val="0"/>
              <w:overflowPunct w:val="0"/>
              <w:adjustRightInd w:val="0"/>
              <w:snapToGrid w:val="0"/>
              <w:spacing w:after="0" w:line="240" w:lineRule="auto"/>
              <w:jc w:val="both"/>
              <w:rPr>
                <w:rFonts w:ascii="Times New Roman" w:hAnsi="Times New Roman" w:cs="Times New Roman"/>
                <w:iCs/>
                <w:sz w:val="18"/>
                <w:szCs w:val="18"/>
              </w:rPr>
            </w:pPr>
            <m:oMathPara>
              <m:oMathParaPr>
                <m:jc m:val="left"/>
              </m:oMathParaPr>
              <m:oMath>
                <m:r>
                  <m:rPr>
                    <m:sty m:val="p"/>
                  </m:rPr>
                  <w:rPr>
                    <w:rFonts w:ascii="Cambria Math" w:hAnsi="Cambria Math" w:cs="Times New Roman"/>
                    <w:sz w:val="18"/>
                    <w:szCs w:val="18"/>
                  </w:rPr>
                  <m:t>GDP</m:t>
                </m:r>
              </m:oMath>
            </m:oMathPara>
          </w:p>
        </w:tc>
        <w:tc>
          <w:tcPr>
            <w:tcW w:w="0" w:type="auto"/>
            <w:vAlign w:val="center"/>
          </w:tcPr>
          <w:p w14:paraId="01DEA371" w14:textId="77777777" w:rsidR="00E51B48" w:rsidRPr="00D81D10" w:rsidRDefault="00E51B48" w:rsidP="00F4591E">
            <w:pPr>
              <w:widowControl w:val="0"/>
              <w:overflowPunct w:val="0"/>
              <w:adjustRightInd w:val="0"/>
              <w:snapToGrid w:val="0"/>
              <w:spacing w:after="0" w:line="240" w:lineRule="auto"/>
              <w:rPr>
                <w:rFonts w:ascii="Times New Roman" w:hAnsi="Times New Roman" w:cs="Times New Roman"/>
                <w:sz w:val="18"/>
                <w:szCs w:val="18"/>
              </w:rPr>
            </w:pPr>
            <w:r w:rsidRPr="00D81D10">
              <w:rPr>
                <w:rFonts w:ascii="Times New Roman" w:hAnsi="Times New Roman" w:cs="Times New Roman"/>
                <w:sz w:val="18"/>
                <w:szCs w:val="18"/>
              </w:rPr>
              <w:t>−4.497***a</w:t>
            </w:r>
          </w:p>
        </w:tc>
        <w:tc>
          <w:tcPr>
            <w:tcW w:w="0" w:type="auto"/>
            <w:vAlign w:val="center"/>
          </w:tcPr>
          <w:p w14:paraId="5530CC91" w14:textId="77777777" w:rsidR="00E51B48" w:rsidRPr="00D81D10" w:rsidRDefault="00E51B48" w:rsidP="00F4591E">
            <w:pPr>
              <w:widowControl w:val="0"/>
              <w:overflowPunct w:val="0"/>
              <w:adjustRightInd w:val="0"/>
              <w:snapToGrid w:val="0"/>
              <w:spacing w:after="0" w:line="240" w:lineRule="auto"/>
              <w:rPr>
                <w:rFonts w:ascii="Times New Roman" w:hAnsi="Times New Roman" w:cs="Times New Roman"/>
                <w:sz w:val="18"/>
                <w:szCs w:val="18"/>
              </w:rPr>
            </w:pPr>
            <w:r w:rsidRPr="00D81D10">
              <w:rPr>
                <w:rFonts w:ascii="Times New Roman" w:hAnsi="Times New Roman" w:cs="Times New Roman"/>
                <w:sz w:val="18"/>
                <w:szCs w:val="18"/>
              </w:rPr>
              <w:t>−4.606***a</w:t>
            </w:r>
          </w:p>
        </w:tc>
        <w:tc>
          <w:tcPr>
            <w:tcW w:w="0" w:type="auto"/>
            <w:vAlign w:val="center"/>
          </w:tcPr>
          <w:p w14:paraId="4C24AF16" w14:textId="77777777" w:rsidR="00E51B48" w:rsidRPr="00D81D10" w:rsidRDefault="00E51B48" w:rsidP="00F4591E">
            <w:pPr>
              <w:widowControl w:val="0"/>
              <w:overflowPunct w:val="0"/>
              <w:adjustRightInd w:val="0"/>
              <w:snapToGrid w:val="0"/>
              <w:spacing w:after="0" w:line="240" w:lineRule="auto"/>
              <w:rPr>
                <w:rFonts w:ascii="Times New Roman" w:hAnsi="Times New Roman" w:cs="Times New Roman"/>
                <w:sz w:val="18"/>
                <w:szCs w:val="18"/>
              </w:rPr>
            </w:pPr>
            <w:r w:rsidRPr="00D81D10">
              <w:rPr>
                <w:rFonts w:ascii="Times New Roman" w:hAnsi="Times New Roman" w:cs="Times New Roman"/>
                <w:sz w:val="18"/>
                <w:szCs w:val="18"/>
              </w:rPr>
              <w:t>−4.311***a</w:t>
            </w:r>
          </w:p>
        </w:tc>
        <w:tc>
          <w:tcPr>
            <w:tcW w:w="0" w:type="auto"/>
            <w:vAlign w:val="center"/>
          </w:tcPr>
          <w:p w14:paraId="365DBE14" w14:textId="77777777" w:rsidR="00E51B48" w:rsidRPr="00D81D10" w:rsidRDefault="00E51B48" w:rsidP="00F4591E">
            <w:pPr>
              <w:widowControl w:val="0"/>
              <w:overflowPunct w:val="0"/>
              <w:adjustRightInd w:val="0"/>
              <w:snapToGrid w:val="0"/>
              <w:spacing w:after="0" w:line="240" w:lineRule="auto"/>
              <w:rPr>
                <w:rFonts w:ascii="Times New Roman" w:hAnsi="Times New Roman" w:cs="Times New Roman"/>
                <w:sz w:val="18"/>
                <w:szCs w:val="18"/>
              </w:rPr>
            </w:pPr>
            <w:r w:rsidRPr="00D81D10">
              <w:rPr>
                <w:rFonts w:ascii="Times New Roman" w:hAnsi="Times New Roman" w:cs="Times New Roman"/>
                <w:sz w:val="18"/>
                <w:szCs w:val="18"/>
              </w:rPr>
              <w:t>−4.477***a</w:t>
            </w:r>
          </w:p>
        </w:tc>
        <w:tc>
          <w:tcPr>
            <w:tcW w:w="0" w:type="auto"/>
            <w:vAlign w:val="center"/>
          </w:tcPr>
          <w:p w14:paraId="4551CBFF" w14:textId="77777777" w:rsidR="00E51B48" w:rsidRPr="00D81D10" w:rsidRDefault="00E51B48" w:rsidP="00F4591E">
            <w:pPr>
              <w:widowControl w:val="0"/>
              <w:overflowPunct w:val="0"/>
              <w:adjustRightInd w:val="0"/>
              <w:snapToGrid w:val="0"/>
              <w:spacing w:after="0" w:line="240" w:lineRule="auto"/>
              <w:rPr>
                <w:rFonts w:ascii="Times New Roman" w:hAnsi="Times New Roman" w:cs="Times New Roman"/>
                <w:sz w:val="18"/>
                <w:szCs w:val="18"/>
              </w:rPr>
            </w:pPr>
            <w:r w:rsidRPr="00D81D10">
              <w:rPr>
                <w:rFonts w:ascii="Times New Roman" w:hAnsi="Times New Roman" w:cs="Times New Roman"/>
                <w:sz w:val="18"/>
                <w:szCs w:val="18"/>
              </w:rPr>
              <w:t>−4.590***a</w:t>
            </w:r>
          </w:p>
        </w:tc>
        <w:tc>
          <w:tcPr>
            <w:tcW w:w="0" w:type="auto"/>
            <w:vAlign w:val="center"/>
          </w:tcPr>
          <w:p w14:paraId="6E0BE175" w14:textId="77777777" w:rsidR="00E51B48" w:rsidRPr="00D81D10" w:rsidRDefault="00E51B48" w:rsidP="00F4591E">
            <w:pPr>
              <w:widowControl w:val="0"/>
              <w:overflowPunct w:val="0"/>
              <w:adjustRightInd w:val="0"/>
              <w:snapToGrid w:val="0"/>
              <w:spacing w:after="0" w:line="240" w:lineRule="auto"/>
              <w:rPr>
                <w:rFonts w:ascii="Times New Roman" w:hAnsi="Times New Roman" w:cs="Times New Roman"/>
                <w:sz w:val="18"/>
                <w:szCs w:val="18"/>
              </w:rPr>
            </w:pPr>
            <w:r w:rsidRPr="00D81D10">
              <w:rPr>
                <w:rFonts w:ascii="Times New Roman" w:hAnsi="Times New Roman" w:cs="Times New Roman"/>
                <w:sz w:val="18"/>
                <w:szCs w:val="18"/>
              </w:rPr>
              <w:t>−4.293***a</w:t>
            </w:r>
          </w:p>
        </w:tc>
      </w:tr>
      <w:tr w:rsidR="00E51B48" w:rsidRPr="00D81D10" w14:paraId="5105DEEE" w14:textId="77777777" w:rsidTr="00F4591E">
        <w:tc>
          <w:tcPr>
            <w:tcW w:w="0" w:type="auto"/>
            <w:vAlign w:val="center"/>
          </w:tcPr>
          <w:p w14:paraId="0550CB93" w14:textId="77777777" w:rsidR="00E51B48" w:rsidRPr="00D81D10" w:rsidRDefault="00E51B48" w:rsidP="00F4591E">
            <w:pPr>
              <w:widowControl w:val="0"/>
              <w:overflowPunct w:val="0"/>
              <w:adjustRightInd w:val="0"/>
              <w:snapToGrid w:val="0"/>
              <w:spacing w:after="0" w:line="240" w:lineRule="auto"/>
              <w:jc w:val="both"/>
              <w:rPr>
                <w:rFonts w:ascii="Times New Roman" w:hAnsi="Times New Roman" w:cs="Times New Roman"/>
                <w:iCs/>
                <w:sz w:val="18"/>
                <w:szCs w:val="18"/>
              </w:rPr>
            </w:pPr>
            <m:oMathPara>
              <m:oMathParaPr>
                <m:jc m:val="left"/>
              </m:oMathParaPr>
              <m:oMath>
                <m:r>
                  <m:rPr>
                    <m:sty m:val="p"/>
                  </m:rPr>
                  <w:rPr>
                    <w:rFonts w:ascii="Cambria Math" w:hAnsi="Cambria Math" w:cs="Times New Roman"/>
                    <w:sz w:val="18"/>
                    <w:szCs w:val="18"/>
                  </w:rPr>
                  <m:t>EDGDP</m:t>
                </m:r>
              </m:oMath>
            </m:oMathPara>
          </w:p>
        </w:tc>
        <w:tc>
          <w:tcPr>
            <w:tcW w:w="0" w:type="auto"/>
            <w:vAlign w:val="center"/>
          </w:tcPr>
          <w:p w14:paraId="079E8964" w14:textId="77777777" w:rsidR="00E51B48" w:rsidRPr="00D81D10" w:rsidRDefault="00E51B48" w:rsidP="00F4591E">
            <w:pPr>
              <w:widowControl w:val="0"/>
              <w:overflowPunct w:val="0"/>
              <w:adjustRightInd w:val="0"/>
              <w:snapToGrid w:val="0"/>
              <w:spacing w:after="0" w:line="240" w:lineRule="auto"/>
              <w:rPr>
                <w:rFonts w:ascii="Times New Roman" w:hAnsi="Times New Roman" w:cs="Times New Roman"/>
                <w:sz w:val="18"/>
                <w:szCs w:val="18"/>
              </w:rPr>
            </w:pPr>
            <w:r w:rsidRPr="00D81D10">
              <w:rPr>
                <w:rFonts w:ascii="Times New Roman" w:hAnsi="Times New Roman" w:cs="Times New Roman"/>
                <w:sz w:val="18"/>
                <w:szCs w:val="18"/>
              </w:rPr>
              <w:t>−5.812***b</w:t>
            </w:r>
          </w:p>
        </w:tc>
        <w:tc>
          <w:tcPr>
            <w:tcW w:w="0" w:type="auto"/>
            <w:vAlign w:val="center"/>
          </w:tcPr>
          <w:p w14:paraId="680983A3" w14:textId="77777777" w:rsidR="00E51B48" w:rsidRPr="00D81D10" w:rsidRDefault="00E51B48" w:rsidP="00F4591E">
            <w:pPr>
              <w:widowControl w:val="0"/>
              <w:overflowPunct w:val="0"/>
              <w:adjustRightInd w:val="0"/>
              <w:snapToGrid w:val="0"/>
              <w:spacing w:after="0" w:line="240" w:lineRule="auto"/>
              <w:rPr>
                <w:rFonts w:ascii="Times New Roman" w:hAnsi="Times New Roman" w:cs="Times New Roman"/>
                <w:sz w:val="18"/>
                <w:szCs w:val="18"/>
              </w:rPr>
            </w:pPr>
            <w:r w:rsidRPr="00D81D10">
              <w:rPr>
                <w:rFonts w:ascii="Times New Roman" w:hAnsi="Times New Roman" w:cs="Times New Roman"/>
                <w:sz w:val="18"/>
                <w:szCs w:val="18"/>
              </w:rPr>
              <w:t>−6.033***b</w:t>
            </w:r>
          </w:p>
        </w:tc>
        <w:tc>
          <w:tcPr>
            <w:tcW w:w="0" w:type="auto"/>
            <w:vAlign w:val="center"/>
          </w:tcPr>
          <w:p w14:paraId="500BFAE7" w14:textId="77777777" w:rsidR="00E51B48" w:rsidRPr="00D81D10" w:rsidRDefault="00E51B48" w:rsidP="00F4591E">
            <w:pPr>
              <w:widowControl w:val="0"/>
              <w:overflowPunct w:val="0"/>
              <w:adjustRightInd w:val="0"/>
              <w:snapToGrid w:val="0"/>
              <w:spacing w:after="0" w:line="240" w:lineRule="auto"/>
              <w:rPr>
                <w:rFonts w:ascii="Times New Roman" w:hAnsi="Times New Roman" w:cs="Times New Roman"/>
                <w:sz w:val="18"/>
                <w:szCs w:val="18"/>
              </w:rPr>
            </w:pPr>
            <w:r w:rsidRPr="00D81D10">
              <w:rPr>
                <w:rFonts w:ascii="Times New Roman" w:hAnsi="Times New Roman" w:cs="Times New Roman"/>
                <w:sz w:val="18"/>
                <w:szCs w:val="18"/>
              </w:rPr>
              <w:t>−5.656***b</w:t>
            </w:r>
          </w:p>
        </w:tc>
        <w:tc>
          <w:tcPr>
            <w:tcW w:w="0" w:type="auto"/>
            <w:vAlign w:val="center"/>
          </w:tcPr>
          <w:p w14:paraId="76A53EF7" w14:textId="77777777" w:rsidR="00E51B48" w:rsidRPr="00D81D10" w:rsidRDefault="00E51B48" w:rsidP="00F4591E">
            <w:pPr>
              <w:widowControl w:val="0"/>
              <w:overflowPunct w:val="0"/>
              <w:adjustRightInd w:val="0"/>
              <w:snapToGrid w:val="0"/>
              <w:spacing w:after="0" w:line="240" w:lineRule="auto"/>
              <w:rPr>
                <w:rFonts w:ascii="Times New Roman" w:hAnsi="Times New Roman" w:cs="Times New Roman"/>
                <w:sz w:val="18"/>
                <w:szCs w:val="18"/>
              </w:rPr>
            </w:pPr>
            <w:r w:rsidRPr="00D81D10">
              <w:rPr>
                <w:rFonts w:ascii="Times New Roman" w:hAnsi="Times New Roman" w:cs="Times New Roman"/>
                <w:sz w:val="18"/>
                <w:szCs w:val="18"/>
              </w:rPr>
              <w:t>−5.655***b</w:t>
            </w:r>
          </w:p>
        </w:tc>
        <w:tc>
          <w:tcPr>
            <w:tcW w:w="0" w:type="auto"/>
            <w:vAlign w:val="center"/>
          </w:tcPr>
          <w:p w14:paraId="3C6D7BC6" w14:textId="77777777" w:rsidR="00E51B48" w:rsidRPr="00D81D10" w:rsidRDefault="00E51B48" w:rsidP="00F4591E">
            <w:pPr>
              <w:widowControl w:val="0"/>
              <w:overflowPunct w:val="0"/>
              <w:adjustRightInd w:val="0"/>
              <w:snapToGrid w:val="0"/>
              <w:spacing w:after="0" w:line="240" w:lineRule="auto"/>
              <w:rPr>
                <w:rFonts w:ascii="Times New Roman" w:hAnsi="Times New Roman" w:cs="Times New Roman"/>
                <w:sz w:val="18"/>
                <w:szCs w:val="18"/>
              </w:rPr>
            </w:pPr>
            <w:r w:rsidRPr="00D81D10">
              <w:rPr>
                <w:rFonts w:ascii="Times New Roman" w:hAnsi="Times New Roman" w:cs="Times New Roman"/>
                <w:sz w:val="18"/>
                <w:szCs w:val="18"/>
              </w:rPr>
              <w:t>−5.615***b</w:t>
            </w:r>
          </w:p>
        </w:tc>
        <w:tc>
          <w:tcPr>
            <w:tcW w:w="0" w:type="auto"/>
            <w:vAlign w:val="center"/>
          </w:tcPr>
          <w:p w14:paraId="4F322017" w14:textId="77777777" w:rsidR="00E51B48" w:rsidRPr="00D81D10" w:rsidRDefault="00E51B48" w:rsidP="00F4591E">
            <w:pPr>
              <w:widowControl w:val="0"/>
              <w:overflowPunct w:val="0"/>
              <w:adjustRightInd w:val="0"/>
              <w:snapToGrid w:val="0"/>
              <w:spacing w:after="0" w:line="240" w:lineRule="auto"/>
              <w:rPr>
                <w:rFonts w:ascii="Times New Roman" w:hAnsi="Times New Roman" w:cs="Times New Roman"/>
                <w:sz w:val="18"/>
                <w:szCs w:val="18"/>
              </w:rPr>
            </w:pPr>
            <w:r w:rsidRPr="00D81D10">
              <w:rPr>
                <w:rFonts w:ascii="Times New Roman" w:hAnsi="Times New Roman" w:cs="Times New Roman"/>
                <w:sz w:val="18"/>
                <w:szCs w:val="18"/>
              </w:rPr>
              <w:t>−5.623***b</w:t>
            </w:r>
          </w:p>
        </w:tc>
      </w:tr>
      <w:tr w:rsidR="00E51B48" w:rsidRPr="00D81D10" w14:paraId="35359DA8" w14:textId="77777777" w:rsidTr="00F4591E">
        <w:tc>
          <w:tcPr>
            <w:tcW w:w="0" w:type="auto"/>
            <w:vAlign w:val="center"/>
          </w:tcPr>
          <w:p w14:paraId="694642B9" w14:textId="77777777" w:rsidR="00E51B48" w:rsidRPr="00D81D10" w:rsidRDefault="00E51B48" w:rsidP="00F4591E">
            <w:pPr>
              <w:widowControl w:val="0"/>
              <w:overflowPunct w:val="0"/>
              <w:adjustRightInd w:val="0"/>
              <w:snapToGrid w:val="0"/>
              <w:spacing w:after="0" w:line="240" w:lineRule="auto"/>
              <w:jc w:val="both"/>
              <w:rPr>
                <w:rFonts w:ascii="Times New Roman" w:hAnsi="Times New Roman" w:cs="Times New Roman"/>
                <w:iCs/>
                <w:sz w:val="18"/>
                <w:szCs w:val="18"/>
              </w:rPr>
            </w:pPr>
            <m:oMathPara>
              <m:oMathParaPr>
                <m:jc m:val="left"/>
              </m:oMathParaPr>
              <m:oMath>
                <m:r>
                  <m:rPr>
                    <m:sty m:val="p"/>
                  </m:rPr>
                  <w:rPr>
                    <w:rFonts w:ascii="Cambria Math" w:hAnsi="Cambria Math" w:cs="Times New Roman"/>
                    <w:sz w:val="18"/>
                    <w:szCs w:val="18"/>
                  </w:rPr>
                  <m:t>GOVEF</m:t>
                </m:r>
              </m:oMath>
            </m:oMathPara>
          </w:p>
        </w:tc>
        <w:tc>
          <w:tcPr>
            <w:tcW w:w="0" w:type="auto"/>
            <w:vAlign w:val="center"/>
          </w:tcPr>
          <w:p w14:paraId="477AB37C" w14:textId="77777777" w:rsidR="00E51B48" w:rsidRPr="00D81D10" w:rsidRDefault="00E51B48" w:rsidP="00F4591E">
            <w:pPr>
              <w:widowControl w:val="0"/>
              <w:overflowPunct w:val="0"/>
              <w:adjustRightInd w:val="0"/>
              <w:snapToGrid w:val="0"/>
              <w:spacing w:after="0" w:line="240" w:lineRule="auto"/>
              <w:rPr>
                <w:rFonts w:ascii="Times New Roman" w:hAnsi="Times New Roman" w:cs="Times New Roman"/>
                <w:sz w:val="18"/>
                <w:szCs w:val="18"/>
              </w:rPr>
            </w:pPr>
            <w:r w:rsidRPr="00D81D10">
              <w:rPr>
                <w:rFonts w:ascii="Times New Roman" w:hAnsi="Times New Roman" w:cs="Times New Roman"/>
                <w:sz w:val="18"/>
                <w:szCs w:val="18"/>
              </w:rPr>
              <w:t>−5.337***a</w:t>
            </w:r>
          </w:p>
        </w:tc>
        <w:tc>
          <w:tcPr>
            <w:tcW w:w="0" w:type="auto"/>
            <w:vAlign w:val="center"/>
          </w:tcPr>
          <w:p w14:paraId="494474B0" w14:textId="77777777" w:rsidR="00E51B48" w:rsidRPr="00D81D10" w:rsidRDefault="00E51B48" w:rsidP="00F4591E">
            <w:pPr>
              <w:widowControl w:val="0"/>
              <w:overflowPunct w:val="0"/>
              <w:adjustRightInd w:val="0"/>
              <w:snapToGrid w:val="0"/>
              <w:spacing w:after="0" w:line="240" w:lineRule="auto"/>
              <w:rPr>
                <w:rFonts w:ascii="Times New Roman" w:hAnsi="Times New Roman" w:cs="Times New Roman"/>
                <w:sz w:val="18"/>
                <w:szCs w:val="18"/>
              </w:rPr>
            </w:pPr>
            <w:r w:rsidRPr="00D81D10">
              <w:rPr>
                <w:rFonts w:ascii="Times New Roman" w:hAnsi="Times New Roman" w:cs="Times New Roman"/>
                <w:sz w:val="18"/>
                <w:szCs w:val="18"/>
              </w:rPr>
              <w:t>−6.558***a</w:t>
            </w:r>
          </w:p>
        </w:tc>
        <w:tc>
          <w:tcPr>
            <w:tcW w:w="0" w:type="auto"/>
            <w:vAlign w:val="center"/>
          </w:tcPr>
          <w:p w14:paraId="623D5934" w14:textId="77777777" w:rsidR="00E51B48" w:rsidRPr="00D81D10" w:rsidRDefault="00E51B48" w:rsidP="00F4591E">
            <w:pPr>
              <w:widowControl w:val="0"/>
              <w:overflowPunct w:val="0"/>
              <w:adjustRightInd w:val="0"/>
              <w:snapToGrid w:val="0"/>
              <w:spacing w:after="0" w:line="240" w:lineRule="auto"/>
              <w:rPr>
                <w:rFonts w:ascii="Times New Roman" w:hAnsi="Times New Roman" w:cs="Times New Roman"/>
                <w:sz w:val="18"/>
                <w:szCs w:val="18"/>
              </w:rPr>
            </w:pPr>
            <w:r w:rsidRPr="00D81D10">
              <w:rPr>
                <w:rFonts w:ascii="Times New Roman" w:hAnsi="Times New Roman" w:cs="Times New Roman"/>
                <w:sz w:val="18"/>
                <w:szCs w:val="18"/>
              </w:rPr>
              <w:t>−21.121***b</w:t>
            </w:r>
          </w:p>
        </w:tc>
        <w:tc>
          <w:tcPr>
            <w:tcW w:w="0" w:type="auto"/>
            <w:vAlign w:val="center"/>
          </w:tcPr>
          <w:p w14:paraId="669414DA" w14:textId="77777777" w:rsidR="00E51B48" w:rsidRPr="00D81D10" w:rsidRDefault="00E51B48" w:rsidP="00F4591E">
            <w:pPr>
              <w:widowControl w:val="0"/>
              <w:overflowPunct w:val="0"/>
              <w:adjustRightInd w:val="0"/>
              <w:snapToGrid w:val="0"/>
              <w:spacing w:after="0" w:line="240" w:lineRule="auto"/>
              <w:rPr>
                <w:rFonts w:ascii="Times New Roman" w:hAnsi="Times New Roman" w:cs="Times New Roman"/>
                <w:sz w:val="18"/>
                <w:szCs w:val="18"/>
              </w:rPr>
            </w:pPr>
            <w:r w:rsidRPr="00D81D10">
              <w:rPr>
                <w:rFonts w:ascii="Times New Roman" w:hAnsi="Times New Roman" w:cs="Times New Roman"/>
                <w:sz w:val="18"/>
                <w:szCs w:val="18"/>
              </w:rPr>
              <w:t>−16.462***b</w:t>
            </w:r>
          </w:p>
        </w:tc>
        <w:tc>
          <w:tcPr>
            <w:tcW w:w="0" w:type="auto"/>
            <w:vAlign w:val="center"/>
          </w:tcPr>
          <w:p w14:paraId="59F0DDCA" w14:textId="77777777" w:rsidR="00E51B48" w:rsidRPr="00D81D10" w:rsidRDefault="00E51B48" w:rsidP="00F4591E">
            <w:pPr>
              <w:widowControl w:val="0"/>
              <w:overflowPunct w:val="0"/>
              <w:adjustRightInd w:val="0"/>
              <w:snapToGrid w:val="0"/>
              <w:spacing w:after="0" w:line="240" w:lineRule="auto"/>
              <w:rPr>
                <w:rFonts w:ascii="Times New Roman" w:hAnsi="Times New Roman" w:cs="Times New Roman"/>
                <w:sz w:val="18"/>
                <w:szCs w:val="18"/>
              </w:rPr>
            </w:pPr>
            <w:r w:rsidRPr="00D81D10">
              <w:rPr>
                <w:rFonts w:ascii="Times New Roman" w:hAnsi="Times New Roman" w:cs="Times New Roman"/>
                <w:sz w:val="18"/>
                <w:szCs w:val="18"/>
              </w:rPr>
              <w:t>−16.176***b</w:t>
            </w:r>
          </w:p>
        </w:tc>
        <w:tc>
          <w:tcPr>
            <w:tcW w:w="0" w:type="auto"/>
            <w:vAlign w:val="center"/>
          </w:tcPr>
          <w:p w14:paraId="08796C1F" w14:textId="77777777" w:rsidR="00E51B48" w:rsidRPr="00D81D10" w:rsidRDefault="00E51B48" w:rsidP="00F4591E">
            <w:pPr>
              <w:widowControl w:val="0"/>
              <w:overflowPunct w:val="0"/>
              <w:adjustRightInd w:val="0"/>
              <w:snapToGrid w:val="0"/>
              <w:spacing w:after="0" w:line="240" w:lineRule="auto"/>
              <w:rPr>
                <w:rFonts w:ascii="Times New Roman" w:hAnsi="Times New Roman" w:cs="Times New Roman"/>
                <w:sz w:val="18"/>
                <w:szCs w:val="18"/>
              </w:rPr>
            </w:pPr>
            <w:r w:rsidRPr="00D81D10">
              <w:rPr>
                <w:rFonts w:ascii="Times New Roman" w:hAnsi="Times New Roman" w:cs="Times New Roman"/>
                <w:sz w:val="18"/>
                <w:szCs w:val="18"/>
              </w:rPr>
              <w:t>−16.723***b</w:t>
            </w:r>
          </w:p>
        </w:tc>
      </w:tr>
    </w:tbl>
    <w:p w14:paraId="64EDF8F1" w14:textId="77777777" w:rsidR="00E51B48" w:rsidRPr="009B1BB3" w:rsidRDefault="00E51B48" w:rsidP="00E51B48">
      <w:pPr>
        <w:widowControl w:val="0"/>
        <w:overflowPunct w:val="0"/>
        <w:adjustRightInd w:val="0"/>
        <w:snapToGrid w:val="0"/>
        <w:spacing w:after="0" w:line="240" w:lineRule="auto"/>
        <w:ind w:left="2948"/>
        <w:rPr>
          <w:sz w:val="18"/>
        </w:rPr>
      </w:pPr>
      <w:r w:rsidRPr="009B1BB3">
        <w:rPr>
          <w:sz w:val="18"/>
        </w:rPr>
        <w:t>Where *** indicate significance at 1%, “a” and “b” represent stationarity at level and first difference.</w:t>
      </w:r>
    </w:p>
    <w:p w14:paraId="18741743" w14:textId="77777777" w:rsidR="00E51B48" w:rsidRPr="009B1BB3" w:rsidRDefault="00E51B48" w:rsidP="00E51B48">
      <w:pPr>
        <w:widowControl w:val="0"/>
        <w:overflowPunct w:val="0"/>
        <w:adjustRightInd w:val="0"/>
        <w:snapToGrid w:val="0"/>
        <w:spacing w:after="240" w:line="240" w:lineRule="auto"/>
        <w:ind w:left="2948"/>
        <w:rPr>
          <w:sz w:val="18"/>
        </w:rPr>
      </w:pPr>
      <w:r w:rsidRPr="009B1BB3">
        <w:rPr>
          <w:sz w:val="18"/>
        </w:rPr>
        <w:t>Source: authors’ estimated output.</w:t>
      </w:r>
    </w:p>
    <w:p w14:paraId="227B734F" w14:textId="4C0F7A48" w:rsidR="00BF0F78" w:rsidRPr="009B1BB3" w:rsidRDefault="00F16C59">
      <w:pPr>
        <w:widowControl w:val="0"/>
        <w:overflowPunct w:val="0"/>
        <w:autoSpaceDE w:val="0"/>
        <w:autoSpaceDN w:val="0"/>
        <w:adjustRightInd w:val="0"/>
        <w:snapToGrid w:val="0"/>
        <w:spacing w:after="0" w:line="288" w:lineRule="auto"/>
        <w:ind w:left="2948" w:firstLine="442"/>
        <w:jc w:val="both"/>
        <w:rPr>
          <w:rFonts w:eastAsia="宋体"/>
          <w:szCs w:val="22"/>
        </w:rPr>
      </w:pPr>
      <w:r w:rsidRPr="00F16C59">
        <w:rPr>
          <w:rFonts w:eastAsia="宋体"/>
          <w:szCs w:val="22"/>
        </w:rPr>
        <w:t xml:space="preserve">Captured in </w:t>
      </w:r>
      <w:r w:rsidRPr="00F16C59">
        <w:rPr>
          <w:rFonts w:eastAsia="宋体"/>
          <w:b/>
          <w:bCs/>
          <w:szCs w:val="22"/>
        </w:rPr>
        <w:t>Table 4</w:t>
      </w:r>
      <w:r w:rsidRPr="00F16C59">
        <w:rPr>
          <w:rFonts w:eastAsia="宋体"/>
          <w:szCs w:val="22"/>
        </w:rPr>
        <w:t xml:space="preserve"> is the test for unit root conducted on each series used in the study. The stationarity of the series was determined through the Philips-Perron (PP) and augmented Dickey-Fuller (ADF) unit root test methods. Ascertaining the stationarity status of the variables can eliminate the potential impact of spurious regression output. Thus, as demonstrated in </w:t>
      </w:r>
      <w:r w:rsidRPr="00F16C59">
        <w:rPr>
          <w:rFonts w:eastAsia="宋体"/>
          <w:b/>
          <w:bCs/>
          <w:szCs w:val="22"/>
        </w:rPr>
        <w:t>Table 4</w:t>
      </w:r>
      <w:r w:rsidRPr="00F16C59">
        <w:rPr>
          <w:rFonts w:eastAsia="宋体"/>
          <w:szCs w:val="22"/>
        </w:rPr>
        <w:t xml:space="preserve">, while the poverty gap index, inequality, and external debt measures attained stationarity at first difference, the GDP indicator attained stationarity at level. In contrast, government effectiveness was a mixture of level and first-difference stationarity. Nevertheless, the combination of </w:t>
      </w:r>
      <w:r w:rsidRPr="00F16C59">
        <w:rPr>
          <w:rFonts w:eastAsia="宋体"/>
          <w:szCs w:val="22"/>
        </w:rPr>
        <w:lastRenderedPageBreak/>
        <w:t>both level and first difference stationarity of the study series further lends credence to the adoption of the ARDL methodology for the study.</w:t>
      </w:r>
    </w:p>
    <w:p w14:paraId="7ABA1039" w14:textId="77777777" w:rsidR="00BF0F78" w:rsidRPr="009B1BB3" w:rsidRDefault="00000000">
      <w:pPr>
        <w:widowControl w:val="0"/>
        <w:overflowPunct w:val="0"/>
        <w:adjustRightInd w:val="0"/>
        <w:snapToGrid w:val="0"/>
        <w:spacing w:before="240" w:after="60" w:line="288" w:lineRule="auto"/>
        <w:ind w:left="2948"/>
        <w:rPr>
          <w:b/>
          <w:sz w:val="24"/>
        </w:rPr>
      </w:pPr>
      <w:r w:rsidRPr="009B1BB3">
        <w:rPr>
          <w:b/>
          <w:sz w:val="24"/>
        </w:rPr>
        <w:t>4.3. Cointegration test</w:t>
      </w:r>
    </w:p>
    <w:p w14:paraId="4FA75FE8" w14:textId="6BB9A86A" w:rsidR="00BF0F78" w:rsidRPr="002F0B24" w:rsidRDefault="002F0B24">
      <w:pPr>
        <w:widowControl w:val="0"/>
        <w:overflowPunct w:val="0"/>
        <w:autoSpaceDE w:val="0"/>
        <w:autoSpaceDN w:val="0"/>
        <w:adjustRightInd w:val="0"/>
        <w:snapToGrid w:val="0"/>
        <w:spacing w:after="0" w:line="288" w:lineRule="auto"/>
        <w:ind w:left="2948" w:firstLine="442"/>
        <w:jc w:val="both"/>
        <w:rPr>
          <w:rFonts w:hint="eastAsia"/>
          <w:szCs w:val="22"/>
          <w:lang w:eastAsia="zh-CN"/>
        </w:rPr>
      </w:pPr>
      <w:r w:rsidRPr="002F0B24">
        <w:rPr>
          <w:szCs w:val="22"/>
          <w:lang w:eastAsia="zh-CN"/>
        </w:rPr>
        <w:t xml:space="preserve">After ascertaining the stationarity of the variables, the following step entailed determining the presence of a long-run association between the variables through the bounds approach. </w:t>
      </w:r>
      <w:r w:rsidRPr="002F0B24">
        <w:rPr>
          <w:b/>
          <w:bCs/>
          <w:szCs w:val="22"/>
          <w:lang w:eastAsia="zh-CN"/>
        </w:rPr>
        <w:t>Table 5</w:t>
      </w:r>
      <w:r w:rsidRPr="002F0B24">
        <w:rPr>
          <w:szCs w:val="22"/>
          <w:lang w:eastAsia="zh-CN"/>
        </w:rPr>
        <w:t xml:space="preserve"> shows the long-run nexus between the variables. The </w:t>
      </w:r>
      <w:r w:rsidRPr="002F0B24">
        <w:rPr>
          <w:i/>
          <w:iCs/>
          <w:szCs w:val="22"/>
          <w:lang w:eastAsia="zh-CN"/>
        </w:rPr>
        <w:t>F</w:t>
      </w:r>
      <w:r w:rsidRPr="002F0B24">
        <w:rPr>
          <w:szCs w:val="22"/>
          <w:lang w:eastAsia="zh-CN"/>
        </w:rPr>
        <w:t xml:space="preserve">-statistic of the bounds test was compared to the upper bounds critical values </w:t>
      </w:r>
      <w:proofErr w:type="gramStart"/>
      <w:r w:rsidRPr="002F0B24">
        <w:rPr>
          <w:szCs w:val="22"/>
          <w:lang w:eastAsia="zh-CN"/>
        </w:rPr>
        <w:t>I(</w:t>
      </w:r>
      <w:proofErr w:type="gramEnd"/>
      <w:r w:rsidRPr="002F0B24">
        <w:rPr>
          <w:szCs w:val="22"/>
          <w:lang w:eastAsia="zh-CN"/>
        </w:rPr>
        <w:t xml:space="preserve">1) as a yardstick to reject the null of no cointegration. Conventionally, having the bounds </w:t>
      </w:r>
      <w:proofErr w:type="gramStart"/>
      <w:r w:rsidRPr="002F0B24">
        <w:rPr>
          <w:szCs w:val="22"/>
          <w:lang w:eastAsia="zh-CN"/>
        </w:rPr>
        <w:t>I(</w:t>
      </w:r>
      <w:proofErr w:type="gramEnd"/>
      <w:r w:rsidRPr="002F0B24">
        <w:rPr>
          <w:szCs w:val="22"/>
          <w:lang w:eastAsia="zh-CN"/>
        </w:rPr>
        <w:t xml:space="preserve">1) critical value falls below the </w:t>
      </w:r>
      <w:r w:rsidRPr="002F0B24">
        <w:rPr>
          <w:i/>
          <w:iCs/>
          <w:szCs w:val="22"/>
          <w:lang w:eastAsia="zh-CN"/>
        </w:rPr>
        <w:t>F</w:t>
      </w:r>
      <w:r w:rsidRPr="002F0B24">
        <w:rPr>
          <w:szCs w:val="22"/>
          <w:lang w:eastAsia="zh-CN"/>
        </w:rPr>
        <w:t xml:space="preserve">-statistic will indicate the presence of cointegration. Thus, considering the </w:t>
      </w:r>
      <w:r w:rsidRPr="002F0B24">
        <w:rPr>
          <w:i/>
          <w:iCs/>
          <w:szCs w:val="22"/>
          <w:lang w:eastAsia="zh-CN"/>
        </w:rPr>
        <w:t>F</w:t>
      </w:r>
      <w:r w:rsidRPr="002F0B24">
        <w:rPr>
          <w:szCs w:val="22"/>
          <w:lang w:eastAsia="zh-CN"/>
        </w:rPr>
        <w:t xml:space="preserve">-statistic for Equation (1) (3.929) which is higher than the upper bounds at a 5% significance level suggests a long-run relationship. Likewise, the </w:t>
      </w:r>
      <w:r w:rsidRPr="002F0B24">
        <w:rPr>
          <w:i/>
          <w:iCs/>
          <w:szCs w:val="22"/>
          <w:lang w:eastAsia="zh-CN"/>
        </w:rPr>
        <w:t>F</w:t>
      </w:r>
      <w:r w:rsidRPr="002F0B24">
        <w:rPr>
          <w:szCs w:val="22"/>
          <w:lang w:eastAsia="zh-CN"/>
        </w:rPr>
        <w:t>-statistic for Equation (2) (5.218) is higher than the upper bounds at a 5% significance level and indicates a long-run nexus between the variables.</w:t>
      </w:r>
    </w:p>
    <w:p w14:paraId="63172670" w14:textId="77777777" w:rsidR="00BF0F78" w:rsidRPr="009B1BB3" w:rsidRDefault="00000000">
      <w:pPr>
        <w:widowControl w:val="0"/>
        <w:overflowPunct w:val="0"/>
        <w:adjustRightInd w:val="0"/>
        <w:snapToGrid w:val="0"/>
        <w:spacing w:before="240" w:after="60" w:line="288" w:lineRule="auto"/>
        <w:jc w:val="center"/>
      </w:pPr>
      <w:r w:rsidRPr="009B1BB3">
        <w:rPr>
          <w:b/>
        </w:rPr>
        <w:t>Table 5.</w:t>
      </w:r>
      <w:r w:rsidRPr="009B1BB3">
        <w:t xml:space="preserve"> ARDL test result for long-run relationship.</w:t>
      </w:r>
    </w:p>
    <w:tbl>
      <w:tblPr>
        <w:tblStyle w:val="af6"/>
        <w:tblW w:w="5000" w:type="pct"/>
        <w:jc w:val="center"/>
        <w:tblBorders>
          <w:top w:val="single" w:sz="8" w:space="0" w:color="auto"/>
          <w:bottom w:val="single" w:sz="8" w:space="0" w:color="auto"/>
        </w:tblBorders>
        <w:tblLayout w:type="fixed"/>
        <w:tblCellMar>
          <w:top w:w="57" w:type="dxa"/>
          <w:left w:w="57" w:type="dxa"/>
          <w:bottom w:w="57" w:type="dxa"/>
          <w:right w:w="57" w:type="dxa"/>
        </w:tblCellMar>
        <w:tblLook w:val="04A0" w:firstRow="1" w:lastRow="0" w:firstColumn="1" w:lastColumn="0" w:noHBand="0" w:noVBand="1"/>
      </w:tblPr>
      <w:tblGrid>
        <w:gridCol w:w="2835"/>
        <w:gridCol w:w="3402"/>
        <w:gridCol w:w="1701"/>
        <w:gridCol w:w="426"/>
        <w:gridCol w:w="708"/>
        <w:gridCol w:w="709"/>
        <w:gridCol w:w="686"/>
      </w:tblGrid>
      <w:tr w:rsidR="009966AD" w:rsidRPr="00D81D10" w14:paraId="08847901" w14:textId="77777777" w:rsidTr="00D81D10">
        <w:trPr>
          <w:cnfStyle w:val="100000000000" w:firstRow="1" w:lastRow="0" w:firstColumn="0" w:lastColumn="0" w:oddVBand="0" w:evenVBand="0" w:oddHBand="0"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2835" w:type="dxa"/>
            <w:tcBorders>
              <w:top w:val="single" w:sz="8" w:space="0" w:color="auto"/>
              <w:bottom w:val="single" w:sz="4" w:space="0" w:color="auto"/>
            </w:tcBorders>
            <w:shd w:val="clear" w:color="auto" w:fill="auto"/>
            <w:vAlign w:val="center"/>
          </w:tcPr>
          <w:p w14:paraId="0A2A8AC1" w14:textId="77777777" w:rsidR="00BF0F78" w:rsidRPr="00D81D10" w:rsidRDefault="00000000">
            <w:pPr>
              <w:widowControl w:val="0"/>
              <w:overflowPunct w:val="0"/>
              <w:adjustRightInd w:val="0"/>
              <w:snapToGrid w:val="0"/>
              <w:spacing w:after="0" w:line="240" w:lineRule="auto"/>
              <w:rPr>
                <w:rFonts w:ascii="Times New Roman" w:hAnsi="Times New Roman" w:cs="Times New Roman"/>
                <w:color w:val="auto"/>
                <w:sz w:val="18"/>
                <w:szCs w:val="22"/>
              </w:rPr>
            </w:pPr>
            <w:r w:rsidRPr="00D81D10">
              <w:rPr>
                <w:rFonts w:ascii="Times New Roman" w:hAnsi="Times New Roman" w:cs="Times New Roman"/>
                <w:color w:val="auto"/>
                <w:sz w:val="18"/>
                <w:szCs w:val="22"/>
              </w:rPr>
              <w:t>Equation</w:t>
            </w:r>
          </w:p>
        </w:tc>
        <w:tc>
          <w:tcPr>
            <w:tcW w:w="3402" w:type="dxa"/>
            <w:tcBorders>
              <w:top w:val="single" w:sz="8" w:space="0" w:color="auto"/>
              <w:bottom w:val="single" w:sz="4" w:space="0" w:color="auto"/>
            </w:tcBorders>
            <w:shd w:val="clear" w:color="auto" w:fill="auto"/>
            <w:vAlign w:val="center"/>
          </w:tcPr>
          <w:p w14:paraId="1D19CF74" w14:textId="77777777" w:rsidR="00BF0F78" w:rsidRPr="00D81D10" w:rsidRDefault="00000000">
            <w:pPr>
              <w:widowControl w:val="0"/>
              <w:overflowPunct w:val="0"/>
              <w:adjustRightInd w:val="0"/>
              <w:snapToGri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22"/>
              </w:rPr>
            </w:pPr>
            <w:r w:rsidRPr="00D81D10">
              <w:rPr>
                <w:rFonts w:ascii="Times New Roman" w:hAnsi="Times New Roman" w:cs="Times New Roman"/>
                <w:color w:val="auto"/>
                <w:sz w:val="18"/>
                <w:szCs w:val="22"/>
              </w:rPr>
              <w:t>Test statistic</w:t>
            </w:r>
          </w:p>
        </w:tc>
        <w:tc>
          <w:tcPr>
            <w:tcW w:w="1701" w:type="dxa"/>
            <w:tcBorders>
              <w:top w:val="single" w:sz="8" w:space="0" w:color="auto"/>
              <w:bottom w:val="single" w:sz="4" w:space="0" w:color="auto"/>
            </w:tcBorders>
            <w:shd w:val="clear" w:color="auto" w:fill="auto"/>
            <w:vAlign w:val="center"/>
          </w:tcPr>
          <w:p w14:paraId="0238579B" w14:textId="77777777" w:rsidR="00BF0F78" w:rsidRPr="00D81D10" w:rsidRDefault="00000000">
            <w:pPr>
              <w:widowControl w:val="0"/>
              <w:overflowPunct w:val="0"/>
              <w:adjustRightInd w:val="0"/>
              <w:snapToGri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22"/>
              </w:rPr>
            </w:pPr>
            <w:r w:rsidRPr="00D81D10">
              <w:rPr>
                <w:rFonts w:ascii="Times New Roman" w:hAnsi="Times New Roman" w:cs="Times New Roman"/>
                <w:color w:val="auto"/>
                <w:sz w:val="18"/>
                <w:szCs w:val="22"/>
              </w:rPr>
              <w:t xml:space="preserve">Value of </w:t>
            </w:r>
            <w:r w:rsidRPr="00D81D10">
              <w:rPr>
                <w:rFonts w:ascii="Times New Roman" w:hAnsi="Times New Roman" w:cs="Times New Roman"/>
                <w:i/>
                <w:iCs/>
                <w:color w:val="auto"/>
                <w:sz w:val="18"/>
                <w:szCs w:val="22"/>
              </w:rPr>
              <w:t>F</w:t>
            </w:r>
            <w:r w:rsidRPr="00D81D10">
              <w:rPr>
                <w:rFonts w:ascii="Times New Roman" w:hAnsi="Times New Roman" w:cs="Times New Roman"/>
                <w:color w:val="auto"/>
                <w:sz w:val="18"/>
                <w:szCs w:val="22"/>
              </w:rPr>
              <w:t>-statistic</w:t>
            </w:r>
          </w:p>
        </w:tc>
        <w:tc>
          <w:tcPr>
            <w:tcW w:w="426" w:type="dxa"/>
            <w:tcBorders>
              <w:top w:val="single" w:sz="8" w:space="0" w:color="auto"/>
              <w:bottom w:val="single" w:sz="4" w:space="0" w:color="auto"/>
            </w:tcBorders>
            <w:shd w:val="clear" w:color="auto" w:fill="auto"/>
            <w:vAlign w:val="center"/>
          </w:tcPr>
          <w:p w14:paraId="46858D34" w14:textId="77777777" w:rsidR="00BF0F78" w:rsidRPr="00D81D10" w:rsidRDefault="00000000">
            <w:pPr>
              <w:widowControl w:val="0"/>
              <w:overflowPunct w:val="0"/>
              <w:adjustRightInd w:val="0"/>
              <w:snapToGri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olor w:val="auto"/>
                <w:sz w:val="18"/>
                <w:szCs w:val="22"/>
              </w:rPr>
            </w:pPr>
            <w:r w:rsidRPr="00D81D10">
              <w:rPr>
                <w:rFonts w:ascii="Times New Roman" w:hAnsi="Times New Roman" w:cs="Times New Roman"/>
                <w:i/>
                <w:iCs/>
                <w:color w:val="auto"/>
                <w:sz w:val="18"/>
                <w:szCs w:val="22"/>
              </w:rPr>
              <w:t>K</w:t>
            </w:r>
          </w:p>
        </w:tc>
        <w:tc>
          <w:tcPr>
            <w:tcW w:w="708" w:type="dxa"/>
            <w:tcBorders>
              <w:top w:val="single" w:sz="8" w:space="0" w:color="auto"/>
              <w:bottom w:val="single" w:sz="4" w:space="0" w:color="auto"/>
            </w:tcBorders>
            <w:shd w:val="clear" w:color="auto" w:fill="auto"/>
            <w:vAlign w:val="center"/>
          </w:tcPr>
          <w:p w14:paraId="0C86F111" w14:textId="77777777" w:rsidR="00BF0F78" w:rsidRPr="00D81D10" w:rsidRDefault="00000000">
            <w:pPr>
              <w:widowControl w:val="0"/>
              <w:overflowPunct w:val="0"/>
              <w:adjustRightInd w:val="0"/>
              <w:snapToGri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22"/>
              </w:rPr>
            </w:pPr>
            <w:r w:rsidRPr="00D81D10">
              <w:rPr>
                <w:rFonts w:ascii="Times New Roman" w:hAnsi="Times New Roman" w:cs="Times New Roman"/>
                <w:color w:val="auto"/>
                <w:sz w:val="18"/>
                <w:szCs w:val="22"/>
              </w:rPr>
              <w:t>Sign.</w:t>
            </w:r>
          </w:p>
        </w:tc>
        <w:tc>
          <w:tcPr>
            <w:tcW w:w="709" w:type="dxa"/>
            <w:tcBorders>
              <w:top w:val="single" w:sz="8" w:space="0" w:color="auto"/>
              <w:bottom w:val="single" w:sz="4" w:space="0" w:color="auto"/>
            </w:tcBorders>
            <w:shd w:val="clear" w:color="auto" w:fill="auto"/>
            <w:vAlign w:val="center"/>
          </w:tcPr>
          <w:p w14:paraId="2FDAD63E" w14:textId="77777777" w:rsidR="00BF0F78" w:rsidRPr="00D81D10" w:rsidRDefault="00000000">
            <w:pPr>
              <w:widowControl w:val="0"/>
              <w:overflowPunct w:val="0"/>
              <w:adjustRightInd w:val="0"/>
              <w:snapToGri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22"/>
              </w:rPr>
            </w:pPr>
            <w:proofErr w:type="gramStart"/>
            <w:r w:rsidRPr="00D81D10">
              <w:rPr>
                <w:rFonts w:ascii="Times New Roman" w:hAnsi="Times New Roman" w:cs="Times New Roman"/>
                <w:color w:val="auto"/>
                <w:sz w:val="18"/>
                <w:szCs w:val="22"/>
              </w:rPr>
              <w:t>I(</w:t>
            </w:r>
            <w:proofErr w:type="gramEnd"/>
            <w:r w:rsidRPr="00D81D10">
              <w:rPr>
                <w:rFonts w:ascii="Times New Roman" w:hAnsi="Times New Roman" w:cs="Times New Roman"/>
                <w:color w:val="auto"/>
                <w:sz w:val="18"/>
                <w:szCs w:val="22"/>
              </w:rPr>
              <w:t>0)</w:t>
            </w:r>
          </w:p>
        </w:tc>
        <w:tc>
          <w:tcPr>
            <w:tcW w:w="686" w:type="dxa"/>
            <w:tcBorders>
              <w:top w:val="single" w:sz="8" w:space="0" w:color="auto"/>
              <w:bottom w:val="single" w:sz="4" w:space="0" w:color="auto"/>
            </w:tcBorders>
            <w:shd w:val="clear" w:color="auto" w:fill="auto"/>
            <w:vAlign w:val="center"/>
          </w:tcPr>
          <w:p w14:paraId="7959E3C8" w14:textId="77777777" w:rsidR="00BF0F78" w:rsidRPr="00D81D10" w:rsidRDefault="00000000">
            <w:pPr>
              <w:widowControl w:val="0"/>
              <w:overflowPunct w:val="0"/>
              <w:adjustRightInd w:val="0"/>
              <w:snapToGri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22"/>
              </w:rPr>
            </w:pPr>
            <w:proofErr w:type="gramStart"/>
            <w:r w:rsidRPr="00D81D10">
              <w:rPr>
                <w:rFonts w:ascii="Times New Roman" w:hAnsi="Times New Roman" w:cs="Times New Roman"/>
                <w:color w:val="auto"/>
                <w:sz w:val="18"/>
                <w:szCs w:val="22"/>
              </w:rPr>
              <w:t>I(</w:t>
            </w:r>
            <w:proofErr w:type="gramEnd"/>
            <w:r w:rsidRPr="00D81D10">
              <w:rPr>
                <w:rFonts w:ascii="Times New Roman" w:hAnsi="Times New Roman" w:cs="Times New Roman"/>
                <w:color w:val="auto"/>
                <w:sz w:val="18"/>
                <w:szCs w:val="22"/>
              </w:rPr>
              <w:t>1)</w:t>
            </w:r>
          </w:p>
        </w:tc>
      </w:tr>
      <w:tr w:rsidR="009966AD" w:rsidRPr="00D81D10" w14:paraId="7D264E43" w14:textId="77777777" w:rsidTr="00D81D10">
        <w:trPr>
          <w:cantSplit/>
          <w:trHeight w:val="20"/>
          <w:jc w:val="center"/>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left w:val="nil"/>
              <w:right w:val="nil"/>
            </w:tcBorders>
            <w:shd w:val="clear" w:color="auto" w:fill="auto"/>
            <w:vAlign w:val="center"/>
          </w:tcPr>
          <w:p w14:paraId="5D22CCE4" w14:textId="00E1C39F" w:rsidR="00BF0F78" w:rsidRPr="00D81D10" w:rsidRDefault="00D81D10">
            <w:pPr>
              <w:widowControl w:val="0"/>
              <w:overflowPunct w:val="0"/>
              <w:adjustRightInd w:val="0"/>
              <w:snapToGrid w:val="0"/>
              <w:spacing w:after="0" w:line="240" w:lineRule="auto"/>
              <w:rPr>
                <w:rFonts w:ascii="Times New Roman" w:hAnsi="Times New Roman" w:cs="Times New Roman"/>
                <w:b w:val="0"/>
                <w:bCs w:val="0"/>
                <w:iCs/>
                <w:color w:val="auto"/>
                <w:sz w:val="18"/>
                <w:szCs w:val="22"/>
              </w:rPr>
            </w:pPr>
            <m:oMathPara>
              <m:oMathParaPr>
                <m:jc m:val="left"/>
              </m:oMathParaPr>
              <m:oMath>
                <m:r>
                  <m:rPr>
                    <m:sty m:val="b"/>
                  </m:rPr>
                  <w:rPr>
                    <w:rFonts w:ascii="Cambria Math" w:hAnsi="Cambria Math" w:cs="Times New Roman"/>
                    <w:color w:val="auto"/>
                    <w:sz w:val="18"/>
                    <w:szCs w:val="22"/>
                  </w:rPr>
                  <m:t>PGI=f(GDP, EDGDP, GOVEF)</m:t>
                </m:r>
              </m:oMath>
            </m:oMathPara>
          </w:p>
        </w:tc>
        <w:tc>
          <w:tcPr>
            <w:tcW w:w="3402" w:type="dxa"/>
            <w:tcBorders>
              <w:top w:val="single" w:sz="4" w:space="0" w:color="auto"/>
              <w:right w:val="nil"/>
            </w:tcBorders>
            <w:shd w:val="clear" w:color="auto" w:fill="auto"/>
            <w:vAlign w:val="center"/>
          </w:tcPr>
          <w:p w14:paraId="1B1B2324" w14:textId="77777777" w:rsidR="00BF0F78" w:rsidRPr="00D81D10" w:rsidRDefault="00000000">
            <w:pPr>
              <w:widowControl w:val="0"/>
              <w:overflowPunct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22"/>
              </w:rPr>
            </w:pPr>
            <w:r w:rsidRPr="00D81D10">
              <w:rPr>
                <w:rFonts w:ascii="Times New Roman" w:hAnsi="Times New Roman" w:cs="Times New Roman"/>
                <w:color w:val="auto"/>
                <w:sz w:val="18"/>
                <w:szCs w:val="22"/>
              </w:rPr>
              <w:t>Sample size (</w:t>
            </w:r>
            <w:r w:rsidRPr="00D81D10">
              <w:rPr>
                <w:rFonts w:ascii="Times New Roman" w:hAnsi="Times New Roman" w:cs="Times New Roman"/>
                <w:i/>
                <w:iCs/>
                <w:color w:val="auto"/>
                <w:sz w:val="18"/>
                <w:szCs w:val="22"/>
              </w:rPr>
              <w:t>n</w:t>
            </w:r>
            <w:r w:rsidRPr="00D81D10">
              <w:rPr>
                <w:rFonts w:ascii="Times New Roman" w:hAnsi="Times New Roman" w:cs="Times New Roman"/>
                <w:color w:val="auto"/>
                <w:sz w:val="18"/>
                <w:szCs w:val="22"/>
              </w:rPr>
              <w:t>) = 32</w:t>
            </w:r>
          </w:p>
        </w:tc>
        <w:tc>
          <w:tcPr>
            <w:tcW w:w="1701" w:type="dxa"/>
            <w:tcBorders>
              <w:top w:val="single" w:sz="4" w:space="0" w:color="auto"/>
              <w:right w:val="nil"/>
            </w:tcBorders>
            <w:shd w:val="clear" w:color="auto" w:fill="auto"/>
            <w:vAlign w:val="center"/>
          </w:tcPr>
          <w:p w14:paraId="7B1FED86" w14:textId="77777777" w:rsidR="00BF0F78" w:rsidRPr="00D81D10" w:rsidRDefault="00000000">
            <w:pPr>
              <w:widowControl w:val="0"/>
              <w:overflowPunct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22"/>
              </w:rPr>
            </w:pPr>
            <w:r w:rsidRPr="00D81D10">
              <w:rPr>
                <w:rFonts w:ascii="Times New Roman" w:hAnsi="Times New Roman" w:cs="Times New Roman"/>
                <w:color w:val="auto"/>
                <w:sz w:val="18"/>
                <w:szCs w:val="22"/>
              </w:rPr>
              <w:t>3.929</w:t>
            </w:r>
          </w:p>
        </w:tc>
        <w:tc>
          <w:tcPr>
            <w:tcW w:w="426" w:type="dxa"/>
            <w:tcBorders>
              <w:top w:val="single" w:sz="4" w:space="0" w:color="auto"/>
              <w:right w:val="nil"/>
            </w:tcBorders>
            <w:shd w:val="clear" w:color="auto" w:fill="auto"/>
            <w:vAlign w:val="center"/>
          </w:tcPr>
          <w:p w14:paraId="12E81888" w14:textId="77777777" w:rsidR="00BF0F78" w:rsidRPr="00D81D10" w:rsidRDefault="00000000">
            <w:pPr>
              <w:widowControl w:val="0"/>
              <w:overflowPunct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22"/>
              </w:rPr>
            </w:pPr>
            <w:r w:rsidRPr="00D81D10">
              <w:rPr>
                <w:rFonts w:ascii="Times New Roman" w:hAnsi="Times New Roman" w:cs="Times New Roman"/>
                <w:color w:val="auto"/>
                <w:sz w:val="18"/>
                <w:szCs w:val="22"/>
              </w:rPr>
              <w:t>3</w:t>
            </w:r>
          </w:p>
        </w:tc>
        <w:tc>
          <w:tcPr>
            <w:tcW w:w="708" w:type="dxa"/>
            <w:tcBorders>
              <w:top w:val="single" w:sz="4" w:space="0" w:color="auto"/>
              <w:right w:val="nil"/>
            </w:tcBorders>
            <w:shd w:val="clear" w:color="auto" w:fill="auto"/>
            <w:vAlign w:val="center"/>
          </w:tcPr>
          <w:p w14:paraId="6D01CDC7" w14:textId="77777777" w:rsidR="00BF0F78" w:rsidRPr="00D81D10" w:rsidRDefault="00000000">
            <w:pPr>
              <w:widowControl w:val="0"/>
              <w:overflowPunct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22"/>
              </w:rPr>
            </w:pPr>
            <w:r w:rsidRPr="00D81D10">
              <w:rPr>
                <w:rFonts w:ascii="Times New Roman" w:hAnsi="Times New Roman" w:cs="Times New Roman"/>
                <w:color w:val="auto"/>
                <w:sz w:val="18"/>
                <w:szCs w:val="22"/>
              </w:rPr>
              <w:t>10%</w:t>
            </w:r>
          </w:p>
        </w:tc>
        <w:tc>
          <w:tcPr>
            <w:tcW w:w="709" w:type="dxa"/>
            <w:tcBorders>
              <w:top w:val="single" w:sz="4" w:space="0" w:color="auto"/>
              <w:right w:val="nil"/>
            </w:tcBorders>
            <w:shd w:val="clear" w:color="auto" w:fill="auto"/>
            <w:vAlign w:val="center"/>
          </w:tcPr>
          <w:p w14:paraId="79404A38" w14:textId="77777777" w:rsidR="00BF0F78" w:rsidRPr="00D81D10" w:rsidRDefault="00000000">
            <w:pPr>
              <w:widowControl w:val="0"/>
              <w:overflowPunct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22"/>
              </w:rPr>
            </w:pPr>
            <w:r w:rsidRPr="00D81D10">
              <w:rPr>
                <w:rFonts w:ascii="Times New Roman" w:hAnsi="Times New Roman" w:cs="Times New Roman"/>
                <w:color w:val="auto"/>
                <w:sz w:val="18"/>
                <w:szCs w:val="22"/>
              </w:rPr>
              <w:t>2.37</w:t>
            </w:r>
          </w:p>
        </w:tc>
        <w:tc>
          <w:tcPr>
            <w:tcW w:w="686" w:type="dxa"/>
            <w:tcBorders>
              <w:top w:val="single" w:sz="4" w:space="0" w:color="auto"/>
              <w:right w:val="nil"/>
            </w:tcBorders>
            <w:shd w:val="clear" w:color="auto" w:fill="auto"/>
            <w:vAlign w:val="center"/>
          </w:tcPr>
          <w:p w14:paraId="326C3B28" w14:textId="77777777" w:rsidR="00BF0F78" w:rsidRPr="00D81D10" w:rsidRDefault="00000000">
            <w:pPr>
              <w:widowControl w:val="0"/>
              <w:overflowPunct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22"/>
              </w:rPr>
            </w:pPr>
            <w:r w:rsidRPr="00D81D10">
              <w:rPr>
                <w:rFonts w:ascii="Times New Roman" w:hAnsi="Times New Roman" w:cs="Times New Roman"/>
                <w:color w:val="auto"/>
                <w:sz w:val="18"/>
                <w:szCs w:val="22"/>
              </w:rPr>
              <w:t>3.2</w:t>
            </w:r>
          </w:p>
        </w:tc>
      </w:tr>
      <w:tr w:rsidR="009966AD" w:rsidRPr="00D81D10" w14:paraId="77E8FBE1" w14:textId="77777777" w:rsidTr="00D81D10">
        <w:trPr>
          <w:cantSplit/>
          <w:trHeight w:val="20"/>
          <w:jc w:val="center"/>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vAlign w:val="center"/>
          </w:tcPr>
          <w:p w14:paraId="41954D49" w14:textId="77777777" w:rsidR="00BF0F78" w:rsidRPr="00D81D10" w:rsidRDefault="00BF0F78">
            <w:pPr>
              <w:widowControl w:val="0"/>
              <w:overflowPunct w:val="0"/>
              <w:adjustRightInd w:val="0"/>
              <w:snapToGrid w:val="0"/>
              <w:spacing w:after="0" w:line="240" w:lineRule="auto"/>
              <w:rPr>
                <w:rFonts w:ascii="Times New Roman" w:hAnsi="Times New Roman" w:cs="Times New Roman"/>
                <w:b w:val="0"/>
                <w:bCs w:val="0"/>
                <w:color w:val="auto"/>
                <w:sz w:val="18"/>
                <w:szCs w:val="22"/>
              </w:rPr>
            </w:pPr>
          </w:p>
        </w:tc>
        <w:tc>
          <w:tcPr>
            <w:tcW w:w="3402" w:type="dxa"/>
            <w:shd w:val="clear" w:color="auto" w:fill="auto"/>
            <w:vAlign w:val="center"/>
          </w:tcPr>
          <w:p w14:paraId="17C2C78F" w14:textId="77777777" w:rsidR="00BF0F78" w:rsidRPr="00D81D10" w:rsidRDefault="00BF0F78">
            <w:pPr>
              <w:widowControl w:val="0"/>
              <w:overflowPunct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22"/>
              </w:rPr>
            </w:pPr>
          </w:p>
        </w:tc>
        <w:tc>
          <w:tcPr>
            <w:tcW w:w="1701" w:type="dxa"/>
            <w:shd w:val="clear" w:color="auto" w:fill="auto"/>
            <w:vAlign w:val="center"/>
          </w:tcPr>
          <w:p w14:paraId="266E6ADA" w14:textId="77777777" w:rsidR="00BF0F78" w:rsidRPr="00D81D10" w:rsidRDefault="00BF0F78">
            <w:pPr>
              <w:widowControl w:val="0"/>
              <w:overflowPunct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22"/>
              </w:rPr>
            </w:pPr>
          </w:p>
        </w:tc>
        <w:tc>
          <w:tcPr>
            <w:tcW w:w="426" w:type="dxa"/>
            <w:shd w:val="clear" w:color="auto" w:fill="auto"/>
            <w:vAlign w:val="center"/>
          </w:tcPr>
          <w:p w14:paraId="750605FC" w14:textId="77777777" w:rsidR="00BF0F78" w:rsidRPr="00D81D10" w:rsidRDefault="00BF0F78">
            <w:pPr>
              <w:widowControl w:val="0"/>
              <w:overflowPunct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22"/>
              </w:rPr>
            </w:pPr>
          </w:p>
        </w:tc>
        <w:tc>
          <w:tcPr>
            <w:tcW w:w="708" w:type="dxa"/>
            <w:shd w:val="clear" w:color="auto" w:fill="auto"/>
            <w:vAlign w:val="center"/>
          </w:tcPr>
          <w:p w14:paraId="032077C2" w14:textId="77777777" w:rsidR="00BF0F78" w:rsidRPr="00D81D10" w:rsidRDefault="00000000">
            <w:pPr>
              <w:widowControl w:val="0"/>
              <w:overflowPunct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22"/>
              </w:rPr>
            </w:pPr>
            <w:r w:rsidRPr="00D81D10">
              <w:rPr>
                <w:rFonts w:ascii="Times New Roman" w:hAnsi="Times New Roman" w:cs="Times New Roman"/>
                <w:color w:val="auto"/>
                <w:sz w:val="18"/>
                <w:szCs w:val="22"/>
              </w:rPr>
              <w:t>5%</w:t>
            </w:r>
          </w:p>
        </w:tc>
        <w:tc>
          <w:tcPr>
            <w:tcW w:w="709" w:type="dxa"/>
            <w:shd w:val="clear" w:color="auto" w:fill="auto"/>
            <w:vAlign w:val="center"/>
          </w:tcPr>
          <w:p w14:paraId="0F9EED79" w14:textId="77777777" w:rsidR="00BF0F78" w:rsidRPr="00D81D10" w:rsidRDefault="00000000">
            <w:pPr>
              <w:widowControl w:val="0"/>
              <w:overflowPunct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22"/>
              </w:rPr>
            </w:pPr>
            <w:r w:rsidRPr="00D81D10">
              <w:rPr>
                <w:rFonts w:ascii="Times New Roman" w:hAnsi="Times New Roman" w:cs="Times New Roman"/>
                <w:color w:val="auto"/>
                <w:sz w:val="18"/>
                <w:szCs w:val="22"/>
              </w:rPr>
              <w:t>2.79</w:t>
            </w:r>
          </w:p>
        </w:tc>
        <w:tc>
          <w:tcPr>
            <w:tcW w:w="686" w:type="dxa"/>
            <w:shd w:val="clear" w:color="auto" w:fill="auto"/>
            <w:vAlign w:val="center"/>
          </w:tcPr>
          <w:p w14:paraId="5F0903F0" w14:textId="77777777" w:rsidR="00BF0F78" w:rsidRPr="00D81D10" w:rsidRDefault="00000000">
            <w:pPr>
              <w:widowControl w:val="0"/>
              <w:overflowPunct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22"/>
              </w:rPr>
            </w:pPr>
            <w:r w:rsidRPr="00D81D10">
              <w:rPr>
                <w:rFonts w:ascii="Times New Roman" w:hAnsi="Times New Roman" w:cs="Times New Roman"/>
                <w:color w:val="auto"/>
                <w:sz w:val="18"/>
                <w:szCs w:val="22"/>
              </w:rPr>
              <w:t>3.67</w:t>
            </w:r>
          </w:p>
        </w:tc>
      </w:tr>
      <w:tr w:rsidR="009966AD" w:rsidRPr="00D81D10" w14:paraId="11F83969" w14:textId="77777777" w:rsidTr="00D81D10">
        <w:trPr>
          <w:cantSplit/>
          <w:trHeight w:val="20"/>
          <w:jc w:val="center"/>
        </w:trPr>
        <w:tc>
          <w:tcPr>
            <w:cnfStyle w:val="001000000000" w:firstRow="0" w:lastRow="0" w:firstColumn="1" w:lastColumn="0" w:oddVBand="0" w:evenVBand="0" w:oddHBand="0" w:evenHBand="0" w:firstRowFirstColumn="0" w:firstRowLastColumn="0" w:lastRowFirstColumn="0" w:lastRowLastColumn="0"/>
            <w:tcW w:w="2835" w:type="dxa"/>
            <w:tcBorders>
              <w:left w:val="nil"/>
              <w:right w:val="nil"/>
            </w:tcBorders>
            <w:shd w:val="clear" w:color="auto" w:fill="auto"/>
            <w:vAlign w:val="center"/>
          </w:tcPr>
          <w:p w14:paraId="4013E3F2" w14:textId="52E6B094" w:rsidR="00BF0F78" w:rsidRPr="00D81D10" w:rsidRDefault="00D81D10">
            <w:pPr>
              <w:widowControl w:val="0"/>
              <w:overflowPunct w:val="0"/>
              <w:adjustRightInd w:val="0"/>
              <w:snapToGrid w:val="0"/>
              <w:spacing w:after="0" w:line="240" w:lineRule="auto"/>
              <w:rPr>
                <w:rFonts w:ascii="Times New Roman" w:hAnsi="Times New Roman" w:cs="Times New Roman"/>
                <w:b w:val="0"/>
                <w:bCs w:val="0"/>
                <w:iCs/>
                <w:color w:val="auto"/>
                <w:sz w:val="18"/>
                <w:szCs w:val="22"/>
              </w:rPr>
            </w:pPr>
            <m:oMathPara>
              <m:oMathParaPr>
                <m:jc m:val="left"/>
              </m:oMathParaPr>
              <m:oMath>
                <m:r>
                  <m:rPr>
                    <m:sty m:val="b"/>
                  </m:rPr>
                  <w:rPr>
                    <w:rFonts w:ascii="Cambria Math" w:hAnsi="Cambria Math" w:cs="Times New Roman"/>
                    <w:color w:val="auto"/>
                    <w:sz w:val="18"/>
                    <w:szCs w:val="22"/>
                  </w:rPr>
                  <m:t>INQ=f(GDP, EDGDP, GOVEF)</m:t>
                </m:r>
              </m:oMath>
            </m:oMathPara>
          </w:p>
        </w:tc>
        <w:tc>
          <w:tcPr>
            <w:tcW w:w="3402" w:type="dxa"/>
            <w:tcBorders>
              <w:right w:val="nil"/>
            </w:tcBorders>
            <w:shd w:val="clear" w:color="auto" w:fill="auto"/>
            <w:vAlign w:val="center"/>
          </w:tcPr>
          <w:p w14:paraId="561C8278" w14:textId="77777777" w:rsidR="00BF0F78" w:rsidRPr="00D81D10" w:rsidRDefault="00000000">
            <w:pPr>
              <w:widowControl w:val="0"/>
              <w:overflowPunct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22"/>
              </w:rPr>
            </w:pPr>
            <w:r w:rsidRPr="00D81D10">
              <w:rPr>
                <w:rFonts w:ascii="Times New Roman" w:hAnsi="Times New Roman" w:cs="Times New Roman"/>
                <w:color w:val="auto"/>
                <w:sz w:val="18"/>
                <w:szCs w:val="22"/>
              </w:rPr>
              <w:t>Sample size (</w:t>
            </w:r>
            <w:r w:rsidRPr="00D81D10">
              <w:rPr>
                <w:rFonts w:ascii="Times New Roman" w:hAnsi="Times New Roman" w:cs="Times New Roman"/>
                <w:i/>
                <w:iCs/>
                <w:color w:val="auto"/>
                <w:sz w:val="18"/>
                <w:szCs w:val="22"/>
              </w:rPr>
              <w:t>n</w:t>
            </w:r>
            <w:r w:rsidRPr="00D81D10">
              <w:rPr>
                <w:rFonts w:ascii="Times New Roman" w:hAnsi="Times New Roman" w:cs="Times New Roman"/>
                <w:color w:val="auto"/>
                <w:sz w:val="18"/>
                <w:szCs w:val="22"/>
              </w:rPr>
              <w:t>) = 31</w:t>
            </w:r>
          </w:p>
        </w:tc>
        <w:tc>
          <w:tcPr>
            <w:tcW w:w="1701" w:type="dxa"/>
            <w:tcBorders>
              <w:right w:val="nil"/>
            </w:tcBorders>
            <w:shd w:val="clear" w:color="auto" w:fill="auto"/>
            <w:vAlign w:val="center"/>
          </w:tcPr>
          <w:p w14:paraId="1EC62158" w14:textId="77777777" w:rsidR="00BF0F78" w:rsidRPr="00D81D10" w:rsidRDefault="00000000">
            <w:pPr>
              <w:widowControl w:val="0"/>
              <w:overflowPunct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22"/>
              </w:rPr>
            </w:pPr>
            <w:r w:rsidRPr="00D81D10">
              <w:rPr>
                <w:rFonts w:ascii="Times New Roman" w:hAnsi="Times New Roman" w:cs="Times New Roman"/>
                <w:color w:val="auto"/>
                <w:sz w:val="18"/>
                <w:szCs w:val="22"/>
              </w:rPr>
              <w:t>5.218</w:t>
            </w:r>
          </w:p>
        </w:tc>
        <w:tc>
          <w:tcPr>
            <w:tcW w:w="426" w:type="dxa"/>
            <w:tcBorders>
              <w:right w:val="nil"/>
            </w:tcBorders>
            <w:shd w:val="clear" w:color="auto" w:fill="auto"/>
            <w:vAlign w:val="center"/>
          </w:tcPr>
          <w:p w14:paraId="31F9E817" w14:textId="77777777" w:rsidR="00BF0F78" w:rsidRPr="00D81D10" w:rsidRDefault="00000000">
            <w:pPr>
              <w:widowControl w:val="0"/>
              <w:overflowPunct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22"/>
              </w:rPr>
            </w:pPr>
            <w:r w:rsidRPr="00D81D10">
              <w:rPr>
                <w:rFonts w:ascii="Times New Roman" w:hAnsi="Times New Roman" w:cs="Times New Roman"/>
                <w:color w:val="auto"/>
                <w:sz w:val="18"/>
                <w:szCs w:val="22"/>
              </w:rPr>
              <w:t>3</w:t>
            </w:r>
          </w:p>
        </w:tc>
        <w:tc>
          <w:tcPr>
            <w:tcW w:w="708" w:type="dxa"/>
            <w:tcBorders>
              <w:right w:val="nil"/>
            </w:tcBorders>
            <w:shd w:val="clear" w:color="auto" w:fill="auto"/>
            <w:vAlign w:val="center"/>
          </w:tcPr>
          <w:p w14:paraId="5B4979E5" w14:textId="77777777" w:rsidR="00BF0F78" w:rsidRPr="00D81D10" w:rsidRDefault="00000000">
            <w:pPr>
              <w:widowControl w:val="0"/>
              <w:overflowPunct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22"/>
              </w:rPr>
            </w:pPr>
            <w:r w:rsidRPr="00D81D10">
              <w:rPr>
                <w:rFonts w:ascii="Times New Roman" w:hAnsi="Times New Roman" w:cs="Times New Roman"/>
                <w:color w:val="auto"/>
                <w:sz w:val="18"/>
                <w:szCs w:val="22"/>
              </w:rPr>
              <w:t>2.5%</w:t>
            </w:r>
          </w:p>
        </w:tc>
        <w:tc>
          <w:tcPr>
            <w:tcW w:w="709" w:type="dxa"/>
            <w:tcBorders>
              <w:right w:val="nil"/>
            </w:tcBorders>
            <w:shd w:val="clear" w:color="auto" w:fill="auto"/>
            <w:vAlign w:val="center"/>
          </w:tcPr>
          <w:p w14:paraId="2CD6213B" w14:textId="77777777" w:rsidR="00BF0F78" w:rsidRPr="00D81D10" w:rsidRDefault="00000000">
            <w:pPr>
              <w:widowControl w:val="0"/>
              <w:overflowPunct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22"/>
              </w:rPr>
            </w:pPr>
            <w:r w:rsidRPr="00D81D10">
              <w:rPr>
                <w:rFonts w:ascii="Times New Roman" w:hAnsi="Times New Roman" w:cs="Times New Roman"/>
                <w:color w:val="auto"/>
                <w:sz w:val="18"/>
                <w:szCs w:val="22"/>
              </w:rPr>
              <w:t>3.15</w:t>
            </w:r>
          </w:p>
        </w:tc>
        <w:tc>
          <w:tcPr>
            <w:tcW w:w="686" w:type="dxa"/>
            <w:tcBorders>
              <w:right w:val="nil"/>
            </w:tcBorders>
            <w:shd w:val="clear" w:color="auto" w:fill="auto"/>
            <w:vAlign w:val="center"/>
          </w:tcPr>
          <w:p w14:paraId="2DC5A283" w14:textId="77777777" w:rsidR="00BF0F78" w:rsidRPr="00D81D10" w:rsidRDefault="00000000">
            <w:pPr>
              <w:widowControl w:val="0"/>
              <w:overflowPunct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22"/>
              </w:rPr>
            </w:pPr>
            <w:r w:rsidRPr="00D81D10">
              <w:rPr>
                <w:rFonts w:ascii="Times New Roman" w:hAnsi="Times New Roman" w:cs="Times New Roman"/>
                <w:color w:val="auto"/>
                <w:sz w:val="18"/>
                <w:szCs w:val="22"/>
              </w:rPr>
              <w:t>4.08</w:t>
            </w:r>
          </w:p>
        </w:tc>
      </w:tr>
      <w:tr w:rsidR="009966AD" w:rsidRPr="00D81D10" w14:paraId="7FD27999" w14:textId="77777777" w:rsidTr="00D81D10">
        <w:trPr>
          <w:cantSplit/>
          <w:trHeight w:val="20"/>
          <w:jc w:val="center"/>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vAlign w:val="center"/>
          </w:tcPr>
          <w:p w14:paraId="7ABF1EFF" w14:textId="77777777" w:rsidR="00BF0F78" w:rsidRPr="00D81D10" w:rsidRDefault="00BF0F78">
            <w:pPr>
              <w:widowControl w:val="0"/>
              <w:overflowPunct w:val="0"/>
              <w:adjustRightInd w:val="0"/>
              <w:snapToGrid w:val="0"/>
              <w:spacing w:after="0" w:line="240" w:lineRule="auto"/>
              <w:rPr>
                <w:rFonts w:ascii="Times New Roman" w:hAnsi="Times New Roman" w:cs="Times New Roman"/>
                <w:iCs/>
                <w:color w:val="auto"/>
                <w:sz w:val="18"/>
                <w:szCs w:val="22"/>
              </w:rPr>
            </w:pPr>
          </w:p>
        </w:tc>
        <w:tc>
          <w:tcPr>
            <w:tcW w:w="3402" w:type="dxa"/>
            <w:shd w:val="clear" w:color="auto" w:fill="auto"/>
            <w:vAlign w:val="center"/>
          </w:tcPr>
          <w:p w14:paraId="11152323" w14:textId="77777777" w:rsidR="00BF0F78" w:rsidRPr="00D81D10" w:rsidRDefault="00BF0F78">
            <w:pPr>
              <w:widowControl w:val="0"/>
              <w:overflowPunct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22"/>
              </w:rPr>
            </w:pPr>
          </w:p>
        </w:tc>
        <w:tc>
          <w:tcPr>
            <w:tcW w:w="1701" w:type="dxa"/>
            <w:shd w:val="clear" w:color="auto" w:fill="auto"/>
            <w:vAlign w:val="center"/>
          </w:tcPr>
          <w:p w14:paraId="72F1AAFC" w14:textId="77777777" w:rsidR="00BF0F78" w:rsidRPr="00D81D10" w:rsidRDefault="00BF0F78">
            <w:pPr>
              <w:widowControl w:val="0"/>
              <w:overflowPunct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22"/>
              </w:rPr>
            </w:pPr>
          </w:p>
        </w:tc>
        <w:tc>
          <w:tcPr>
            <w:tcW w:w="426" w:type="dxa"/>
            <w:shd w:val="clear" w:color="auto" w:fill="auto"/>
            <w:vAlign w:val="center"/>
          </w:tcPr>
          <w:p w14:paraId="3C398B5F" w14:textId="77777777" w:rsidR="00BF0F78" w:rsidRPr="00D81D10" w:rsidRDefault="00BF0F78">
            <w:pPr>
              <w:widowControl w:val="0"/>
              <w:overflowPunct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22"/>
              </w:rPr>
            </w:pPr>
          </w:p>
        </w:tc>
        <w:tc>
          <w:tcPr>
            <w:tcW w:w="708" w:type="dxa"/>
            <w:shd w:val="clear" w:color="auto" w:fill="auto"/>
            <w:vAlign w:val="center"/>
          </w:tcPr>
          <w:p w14:paraId="06A47EE0" w14:textId="77777777" w:rsidR="00BF0F78" w:rsidRPr="00D81D10" w:rsidRDefault="00000000">
            <w:pPr>
              <w:widowControl w:val="0"/>
              <w:overflowPunct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22"/>
              </w:rPr>
            </w:pPr>
            <w:r w:rsidRPr="00D81D10">
              <w:rPr>
                <w:rFonts w:ascii="Times New Roman" w:hAnsi="Times New Roman" w:cs="Times New Roman"/>
                <w:color w:val="auto"/>
                <w:sz w:val="18"/>
                <w:szCs w:val="22"/>
              </w:rPr>
              <w:t>1%</w:t>
            </w:r>
          </w:p>
        </w:tc>
        <w:tc>
          <w:tcPr>
            <w:tcW w:w="709" w:type="dxa"/>
            <w:shd w:val="clear" w:color="auto" w:fill="auto"/>
            <w:vAlign w:val="center"/>
          </w:tcPr>
          <w:p w14:paraId="6FA4162A" w14:textId="77777777" w:rsidR="00BF0F78" w:rsidRPr="00D81D10" w:rsidRDefault="00000000">
            <w:pPr>
              <w:widowControl w:val="0"/>
              <w:overflowPunct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22"/>
              </w:rPr>
            </w:pPr>
            <w:r w:rsidRPr="00D81D10">
              <w:rPr>
                <w:rFonts w:ascii="Times New Roman" w:hAnsi="Times New Roman" w:cs="Times New Roman"/>
                <w:color w:val="auto"/>
                <w:sz w:val="18"/>
                <w:szCs w:val="22"/>
              </w:rPr>
              <w:t>3.65</w:t>
            </w:r>
          </w:p>
        </w:tc>
        <w:tc>
          <w:tcPr>
            <w:tcW w:w="686" w:type="dxa"/>
            <w:shd w:val="clear" w:color="auto" w:fill="auto"/>
            <w:vAlign w:val="center"/>
          </w:tcPr>
          <w:p w14:paraId="04F32B58" w14:textId="77777777" w:rsidR="00BF0F78" w:rsidRPr="00D81D10" w:rsidRDefault="00000000">
            <w:pPr>
              <w:widowControl w:val="0"/>
              <w:overflowPunct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22"/>
              </w:rPr>
            </w:pPr>
            <w:r w:rsidRPr="00D81D10">
              <w:rPr>
                <w:rFonts w:ascii="Times New Roman" w:hAnsi="Times New Roman" w:cs="Times New Roman"/>
                <w:color w:val="auto"/>
                <w:sz w:val="18"/>
                <w:szCs w:val="22"/>
              </w:rPr>
              <w:t>4.66</w:t>
            </w:r>
          </w:p>
        </w:tc>
      </w:tr>
    </w:tbl>
    <w:p w14:paraId="55045348" w14:textId="77777777" w:rsidR="00BF0F78" w:rsidRPr="009B1BB3" w:rsidRDefault="00000000">
      <w:pPr>
        <w:widowControl w:val="0"/>
        <w:overflowPunct w:val="0"/>
        <w:adjustRightInd w:val="0"/>
        <w:snapToGrid w:val="0"/>
        <w:spacing w:after="240" w:line="240" w:lineRule="auto"/>
        <w:ind w:left="2948"/>
        <w:rPr>
          <w:sz w:val="18"/>
        </w:rPr>
      </w:pPr>
      <w:r w:rsidRPr="009B1BB3">
        <w:rPr>
          <w:sz w:val="18"/>
        </w:rPr>
        <w:t>Source: authors’ estimated output.</w:t>
      </w:r>
    </w:p>
    <w:p w14:paraId="21FBDFE7" w14:textId="77777777" w:rsidR="00BF0F78" w:rsidRPr="009B1BB3" w:rsidRDefault="00000000">
      <w:pPr>
        <w:widowControl w:val="0"/>
        <w:overflowPunct w:val="0"/>
        <w:adjustRightInd w:val="0"/>
        <w:snapToGrid w:val="0"/>
        <w:spacing w:before="240" w:after="60" w:line="288" w:lineRule="auto"/>
        <w:ind w:left="2948"/>
        <w:rPr>
          <w:b/>
          <w:sz w:val="24"/>
        </w:rPr>
      </w:pPr>
      <w:r w:rsidRPr="009B1BB3">
        <w:rPr>
          <w:b/>
          <w:sz w:val="24"/>
        </w:rPr>
        <w:t>4.4. Results and discussions of findings</w:t>
      </w:r>
    </w:p>
    <w:p w14:paraId="7BD7E4D2" w14:textId="77777777" w:rsidR="00E317D3" w:rsidRPr="00E317D3" w:rsidRDefault="00E317D3" w:rsidP="00E317D3">
      <w:pPr>
        <w:widowControl w:val="0"/>
        <w:overflowPunct w:val="0"/>
        <w:adjustRightInd w:val="0"/>
        <w:snapToGrid w:val="0"/>
        <w:spacing w:after="0" w:line="288" w:lineRule="auto"/>
        <w:ind w:left="2948" w:firstLine="442"/>
        <w:jc w:val="both"/>
        <w:rPr>
          <w:rFonts w:eastAsia="宋体"/>
          <w:szCs w:val="22"/>
        </w:rPr>
      </w:pPr>
      <w:bookmarkStart w:id="11" w:name="OLE_LINK2"/>
      <w:r w:rsidRPr="00E317D3">
        <w:rPr>
          <w:rFonts w:eastAsia="宋体"/>
          <w:szCs w:val="22"/>
        </w:rPr>
        <w:t xml:space="preserve">Captured in </w:t>
      </w:r>
      <w:r w:rsidRPr="00E317D3">
        <w:rPr>
          <w:rFonts w:eastAsia="宋体"/>
          <w:b/>
          <w:bCs/>
          <w:szCs w:val="22"/>
        </w:rPr>
        <w:t>Table 6</w:t>
      </w:r>
      <w:r w:rsidRPr="00E317D3">
        <w:rPr>
          <w:rFonts w:eastAsia="宋体"/>
          <w:szCs w:val="22"/>
        </w:rPr>
        <w:t xml:space="preserve"> is the regression output for the effects of economic growth, foreign borrowing, and institutional quality on poverty. Results in the first row represent the long-term output, revealing that although economic growth has a positive impact on poverty, the effect is insignificant. This result contrasts the significant positive effect of economic growth on poverty in Okere et al. [20]. Consequently, the implication of the outcome is that economic prosperity has not been effective in reducing the level of poverty in the long run, indicating the applicability of an exclusive growth process in Nigeria. When the economic prosperity path tends more towards an exclusive nature, it is motivated by foreign forces including taxes and tariffs, macroeconomic elements, and technological development, all of which are presently applicable to the Nigerian economic growth system. In contrast, external debt shows a significant positive effect on poverty levels, suggesting that higher sovereign borrowings have significantly translated to higher poverty levels in the country. This result agrees with studies such as Obiero and Topuz [39] and Andoh et al. [34]. In essence, this </w:t>
      </w:r>
      <w:proofErr w:type="spellStart"/>
      <w:r w:rsidRPr="00E317D3">
        <w:rPr>
          <w:rFonts w:eastAsia="宋体"/>
          <w:szCs w:val="22"/>
        </w:rPr>
        <w:t>behaviour</w:t>
      </w:r>
      <w:proofErr w:type="spellEnd"/>
      <w:r w:rsidRPr="00E317D3">
        <w:rPr>
          <w:rFonts w:eastAsia="宋体"/>
          <w:szCs w:val="22"/>
        </w:rPr>
        <w:t xml:space="preserve"> infers that a significant amount of funds, often borrowed, are expended on projects that seldom improve the quality of life of the people [64]. Similarly, a higher level of government effectiveness has an overwhelming level of positive impact on poverty levels. This indicates that increasing the number of government agencies to tackle poverty in the country has not reduced but further aggravated poverty. The inefficiency of these government bodies in reducing poverty may be due to the increased bureaucracies that their operations are </w:t>
      </w:r>
      <w:r w:rsidRPr="00E317D3">
        <w:rPr>
          <w:rFonts w:eastAsia="宋体"/>
          <w:szCs w:val="22"/>
        </w:rPr>
        <w:lastRenderedPageBreak/>
        <w:t>embedded in, as well as the overlapping of duties, which can make responding to poverty issues challenging. Hence, based on the aforesaid, the New-Keynesian theory is validated for Nigeria.</w:t>
      </w:r>
    </w:p>
    <w:p w14:paraId="2E3C59D5" w14:textId="5C51E2EB" w:rsidR="00BF0F78" w:rsidRPr="009B1BB3" w:rsidRDefault="00E317D3" w:rsidP="00E317D3">
      <w:pPr>
        <w:widowControl w:val="0"/>
        <w:overflowPunct w:val="0"/>
        <w:adjustRightInd w:val="0"/>
        <w:snapToGrid w:val="0"/>
        <w:spacing w:after="0" w:line="288" w:lineRule="auto"/>
        <w:ind w:left="2948" w:firstLine="442"/>
        <w:jc w:val="both"/>
        <w:rPr>
          <w:rFonts w:eastAsia="宋体" w:hint="eastAsia"/>
          <w:szCs w:val="22"/>
          <w:lang w:eastAsia="zh-CN"/>
        </w:rPr>
      </w:pPr>
      <w:r w:rsidRPr="00E317D3">
        <w:rPr>
          <w:rFonts w:eastAsia="宋体"/>
          <w:szCs w:val="22"/>
        </w:rPr>
        <w:t>In the second panel, the short-run outcomes are presented. Unlike the long-run output, external debt has an insignificant positive effect on poverty levels, implying that it takes the long term for external debt to impact poverty in the country. However, similar to the long-term output, government effectiveness increases the level of poverty in the short term. The speed of adjustment parameter is rightly signed and significant. Its value suggests that in the event of short-run disequilibrium, about 41% of distortion will be corrected annually.</w:t>
      </w:r>
    </w:p>
    <w:bookmarkEnd w:id="11"/>
    <w:p w14:paraId="5C4F11F9" w14:textId="77777777" w:rsidR="00BF0F78" w:rsidRPr="009B1BB3" w:rsidRDefault="00000000">
      <w:pPr>
        <w:widowControl w:val="0"/>
        <w:overflowPunct w:val="0"/>
        <w:adjustRightInd w:val="0"/>
        <w:snapToGrid w:val="0"/>
        <w:spacing w:before="240" w:after="60" w:line="288" w:lineRule="auto"/>
        <w:ind w:left="2948"/>
      </w:pPr>
      <w:r w:rsidRPr="009B1BB3">
        <w:rPr>
          <w:b/>
        </w:rPr>
        <w:t>Table 6.</w:t>
      </w:r>
      <w:r w:rsidRPr="009B1BB3">
        <w:t xml:space="preserve"> Effects of economic growth, foreign debt, and institutional quality on poverty.</w:t>
      </w:r>
    </w:p>
    <w:tbl>
      <w:tblPr>
        <w:tblW w:w="7518" w:type="dxa"/>
        <w:tblInd w:w="2948" w:type="dxa"/>
        <w:tblBorders>
          <w:top w:val="single" w:sz="8" w:space="0" w:color="auto"/>
          <w:bottom w:val="single" w:sz="8" w:space="0" w:color="auto"/>
        </w:tblBorders>
        <w:tblLayout w:type="fixed"/>
        <w:tblCellMar>
          <w:top w:w="57" w:type="dxa"/>
          <w:left w:w="57" w:type="dxa"/>
          <w:bottom w:w="57" w:type="dxa"/>
          <w:right w:w="57" w:type="dxa"/>
        </w:tblCellMar>
        <w:tblLook w:val="04A0" w:firstRow="1" w:lastRow="0" w:firstColumn="1" w:lastColumn="0" w:noHBand="0" w:noVBand="1"/>
      </w:tblPr>
      <w:tblGrid>
        <w:gridCol w:w="1512"/>
        <w:gridCol w:w="1498"/>
        <w:gridCol w:w="1511"/>
        <w:gridCol w:w="1709"/>
        <w:gridCol w:w="1288"/>
      </w:tblGrid>
      <w:tr w:rsidR="009966AD" w:rsidRPr="00C60941" w14:paraId="2D945A82" w14:textId="77777777">
        <w:trPr>
          <w:cantSplit/>
        </w:trPr>
        <w:tc>
          <w:tcPr>
            <w:tcW w:w="7518" w:type="dxa"/>
            <w:gridSpan w:val="5"/>
            <w:tcBorders>
              <w:top w:val="single" w:sz="8" w:space="0" w:color="auto"/>
              <w:bottom w:val="single" w:sz="4" w:space="0" w:color="auto"/>
            </w:tcBorders>
            <w:noWrap/>
            <w:vAlign w:val="center"/>
          </w:tcPr>
          <w:p w14:paraId="57FD5AE1" w14:textId="77777777" w:rsidR="00BF0F78" w:rsidRPr="00C60941" w:rsidRDefault="00000000">
            <w:pPr>
              <w:widowControl w:val="0"/>
              <w:overflowPunct w:val="0"/>
              <w:adjustRightInd w:val="0"/>
              <w:snapToGrid w:val="0"/>
              <w:spacing w:after="0" w:line="240" w:lineRule="auto"/>
              <w:rPr>
                <w:b/>
                <w:bCs/>
                <w:sz w:val="18"/>
                <w:szCs w:val="18"/>
              </w:rPr>
            </w:pPr>
            <w:r w:rsidRPr="00C60941">
              <w:rPr>
                <w:b/>
                <w:bCs/>
                <w:sz w:val="18"/>
                <w:szCs w:val="18"/>
              </w:rPr>
              <w:t>Long run output: dependent variable (PGI)</w:t>
            </w:r>
          </w:p>
        </w:tc>
      </w:tr>
      <w:tr w:rsidR="009966AD" w:rsidRPr="00C60941" w14:paraId="40E790F6" w14:textId="77777777">
        <w:trPr>
          <w:cantSplit/>
        </w:trPr>
        <w:tc>
          <w:tcPr>
            <w:tcW w:w="1512" w:type="dxa"/>
            <w:tcBorders>
              <w:top w:val="single" w:sz="4" w:space="0" w:color="auto"/>
              <w:bottom w:val="single" w:sz="4" w:space="0" w:color="auto"/>
            </w:tcBorders>
            <w:noWrap/>
            <w:vAlign w:val="center"/>
          </w:tcPr>
          <w:p w14:paraId="2F60EEDD" w14:textId="77777777" w:rsidR="00BF0F78" w:rsidRPr="00C60941" w:rsidRDefault="00000000">
            <w:pPr>
              <w:widowControl w:val="0"/>
              <w:overflowPunct w:val="0"/>
              <w:adjustRightInd w:val="0"/>
              <w:snapToGrid w:val="0"/>
              <w:spacing w:after="0" w:line="240" w:lineRule="auto"/>
              <w:rPr>
                <w:b/>
                <w:bCs/>
                <w:sz w:val="18"/>
                <w:szCs w:val="18"/>
              </w:rPr>
            </w:pPr>
            <w:r w:rsidRPr="00C60941">
              <w:rPr>
                <w:b/>
                <w:bCs/>
                <w:sz w:val="18"/>
                <w:szCs w:val="18"/>
              </w:rPr>
              <w:t>Variables</w:t>
            </w:r>
          </w:p>
        </w:tc>
        <w:tc>
          <w:tcPr>
            <w:tcW w:w="1498" w:type="dxa"/>
            <w:tcBorders>
              <w:top w:val="single" w:sz="4" w:space="0" w:color="auto"/>
              <w:bottom w:val="single" w:sz="4" w:space="0" w:color="auto"/>
            </w:tcBorders>
            <w:noWrap/>
            <w:vAlign w:val="center"/>
          </w:tcPr>
          <w:p w14:paraId="34B8729F" w14:textId="77777777" w:rsidR="00BF0F78" w:rsidRPr="00C60941" w:rsidRDefault="00000000">
            <w:pPr>
              <w:widowControl w:val="0"/>
              <w:overflowPunct w:val="0"/>
              <w:adjustRightInd w:val="0"/>
              <w:snapToGrid w:val="0"/>
              <w:spacing w:after="0" w:line="240" w:lineRule="auto"/>
              <w:rPr>
                <w:b/>
                <w:bCs/>
                <w:sz w:val="18"/>
                <w:szCs w:val="18"/>
              </w:rPr>
            </w:pPr>
            <w:r w:rsidRPr="00C60941">
              <w:rPr>
                <w:b/>
                <w:bCs/>
                <w:sz w:val="18"/>
                <w:szCs w:val="18"/>
              </w:rPr>
              <w:t>Coefficient</w:t>
            </w:r>
          </w:p>
        </w:tc>
        <w:tc>
          <w:tcPr>
            <w:tcW w:w="1511" w:type="dxa"/>
            <w:tcBorders>
              <w:top w:val="single" w:sz="4" w:space="0" w:color="auto"/>
              <w:bottom w:val="single" w:sz="4" w:space="0" w:color="auto"/>
            </w:tcBorders>
            <w:noWrap/>
            <w:vAlign w:val="center"/>
          </w:tcPr>
          <w:p w14:paraId="23120B8A" w14:textId="77777777" w:rsidR="00BF0F78" w:rsidRPr="00C60941" w:rsidRDefault="00000000">
            <w:pPr>
              <w:widowControl w:val="0"/>
              <w:overflowPunct w:val="0"/>
              <w:adjustRightInd w:val="0"/>
              <w:snapToGrid w:val="0"/>
              <w:spacing w:after="0" w:line="240" w:lineRule="auto"/>
              <w:rPr>
                <w:b/>
                <w:bCs/>
                <w:sz w:val="18"/>
                <w:szCs w:val="18"/>
              </w:rPr>
            </w:pPr>
            <w:r w:rsidRPr="00C60941">
              <w:rPr>
                <w:b/>
                <w:bCs/>
                <w:sz w:val="18"/>
                <w:szCs w:val="18"/>
              </w:rPr>
              <w:t>Std. error</w:t>
            </w:r>
          </w:p>
        </w:tc>
        <w:tc>
          <w:tcPr>
            <w:tcW w:w="1709" w:type="dxa"/>
            <w:tcBorders>
              <w:top w:val="single" w:sz="4" w:space="0" w:color="auto"/>
              <w:bottom w:val="single" w:sz="4" w:space="0" w:color="auto"/>
            </w:tcBorders>
            <w:noWrap/>
            <w:vAlign w:val="center"/>
          </w:tcPr>
          <w:p w14:paraId="06517571" w14:textId="77777777" w:rsidR="00BF0F78" w:rsidRPr="00C60941" w:rsidRDefault="00000000">
            <w:pPr>
              <w:widowControl w:val="0"/>
              <w:overflowPunct w:val="0"/>
              <w:adjustRightInd w:val="0"/>
              <w:snapToGrid w:val="0"/>
              <w:spacing w:after="0" w:line="240" w:lineRule="auto"/>
              <w:rPr>
                <w:b/>
                <w:bCs/>
                <w:sz w:val="18"/>
                <w:szCs w:val="18"/>
              </w:rPr>
            </w:pPr>
            <w:r w:rsidRPr="00C60941">
              <w:rPr>
                <w:b/>
                <w:bCs/>
                <w:i/>
                <w:iCs/>
                <w:sz w:val="18"/>
                <w:szCs w:val="18"/>
              </w:rPr>
              <w:t>t</w:t>
            </w:r>
            <w:r w:rsidRPr="00C60941">
              <w:rPr>
                <w:b/>
                <w:bCs/>
                <w:sz w:val="18"/>
                <w:szCs w:val="18"/>
              </w:rPr>
              <w:t>- statistics</w:t>
            </w:r>
          </w:p>
        </w:tc>
        <w:tc>
          <w:tcPr>
            <w:tcW w:w="1288" w:type="dxa"/>
            <w:tcBorders>
              <w:top w:val="single" w:sz="4" w:space="0" w:color="auto"/>
              <w:bottom w:val="single" w:sz="4" w:space="0" w:color="auto"/>
            </w:tcBorders>
            <w:noWrap/>
            <w:vAlign w:val="center"/>
          </w:tcPr>
          <w:p w14:paraId="7E132E63" w14:textId="77777777" w:rsidR="00BF0F78" w:rsidRPr="00C60941" w:rsidRDefault="00000000">
            <w:pPr>
              <w:widowControl w:val="0"/>
              <w:overflowPunct w:val="0"/>
              <w:adjustRightInd w:val="0"/>
              <w:snapToGrid w:val="0"/>
              <w:spacing w:after="0" w:line="240" w:lineRule="auto"/>
              <w:rPr>
                <w:b/>
                <w:bCs/>
                <w:sz w:val="18"/>
                <w:szCs w:val="18"/>
              </w:rPr>
            </w:pPr>
            <w:r w:rsidRPr="00C60941">
              <w:rPr>
                <w:b/>
                <w:bCs/>
                <w:sz w:val="18"/>
                <w:szCs w:val="18"/>
              </w:rPr>
              <w:t>Prob.</w:t>
            </w:r>
          </w:p>
        </w:tc>
      </w:tr>
      <w:tr w:rsidR="009966AD" w:rsidRPr="00C60941" w14:paraId="483FF53C" w14:textId="77777777">
        <w:trPr>
          <w:cantSplit/>
        </w:trPr>
        <w:tc>
          <w:tcPr>
            <w:tcW w:w="1512" w:type="dxa"/>
            <w:tcBorders>
              <w:top w:val="single" w:sz="4" w:space="0" w:color="auto"/>
            </w:tcBorders>
            <w:noWrap/>
            <w:vAlign w:val="center"/>
          </w:tcPr>
          <w:p w14:paraId="0EB11718" w14:textId="77777777" w:rsidR="00BF0F78" w:rsidRPr="00C60941" w:rsidRDefault="00000000">
            <w:pPr>
              <w:widowControl w:val="0"/>
              <w:overflowPunct w:val="0"/>
              <w:adjustRightInd w:val="0"/>
              <w:snapToGrid w:val="0"/>
              <w:spacing w:after="0" w:line="240" w:lineRule="auto"/>
              <w:rPr>
                <w:iCs/>
                <w:sz w:val="18"/>
                <w:szCs w:val="18"/>
              </w:rPr>
            </w:pPr>
            <m:oMathPara>
              <m:oMathParaPr>
                <m:jc m:val="left"/>
              </m:oMathParaPr>
              <m:oMath>
                <m:r>
                  <m:rPr>
                    <m:sty m:val="p"/>
                  </m:rPr>
                  <w:rPr>
                    <w:rFonts w:ascii="Cambria Math" w:hAnsi="Cambria Math"/>
                    <w:sz w:val="18"/>
                    <w:szCs w:val="18"/>
                  </w:rPr>
                  <m:t>GDP</m:t>
                </m:r>
              </m:oMath>
            </m:oMathPara>
          </w:p>
        </w:tc>
        <w:tc>
          <w:tcPr>
            <w:tcW w:w="1498" w:type="dxa"/>
            <w:tcBorders>
              <w:top w:val="single" w:sz="4" w:space="0" w:color="auto"/>
            </w:tcBorders>
            <w:noWrap/>
            <w:vAlign w:val="center"/>
          </w:tcPr>
          <w:p w14:paraId="3ACFB282" w14:textId="77777777" w:rsidR="00BF0F78" w:rsidRPr="00C60941" w:rsidRDefault="00000000">
            <w:pPr>
              <w:widowControl w:val="0"/>
              <w:overflowPunct w:val="0"/>
              <w:adjustRightInd w:val="0"/>
              <w:snapToGrid w:val="0"/>
              <w:spacing w:after="0" w:line="240" w:lineRule="auto"/>
              <w:rPr>
                <w:sz w:val="18"/>
                <w:szCs w:val="18"/>
              </w:rPr>
            </w:pPr>
            <w:r w:rsidRPr="00C60941">
              <w:rPr>
                <w:sz w:val="18"/>
                <w:szCs w:val="18"/>
              </w:rPr>
              <w:t>0.062</w:t>
            </w:r>
          </w:p>
        </w:tc>
        <w:tc>
          <w:tcPr>
            <w:tcW w:w="1511" w:type="dxa"/>
            <w:tcBorders>
              <w:top w:val="single" w:sz="4" w:space="0" w:color="auto"/>
            </w:tcBorders>
            <w:noWrap/>
            <w:vAlign w:val="center"/>
          </w:tcPr>
          <w:p w14:paraId="4D00074F" w14:textId="77777777" w:rsidR="00BF0F78" w:rsidRPr="00C60941" w:rsidRDefault="00000000">
            <w:pPr>
              <w:widowControl w:val="0"/>
              <w:overflowPunct w:val="0"/>
              <w:adjustRightInd w:val="0"/>
              <w:snapToGrid w:val="0"/>
              <w:spacing w:after="0" w:line="240" w:lineRule="auto"/>
              <w:rPr>
                <w:sz w:val="18"/>
                <w:szCs w:val="18"/>
              </w:rPr>
            </w:pPr>
            <w:r w:rsidRPr="00C60941">
              <w:rPr>
                <w:sz w:val="18"/>
                <w:szCs w:val="18"/>
              </w:rPr>
              <w:t>0.205</w:t>
            </w:r>
          </w:p>
        </w:tc>
        <w:tc>
          <w:tcPr>
            <w:tcW w:w="1709" w:type="dxa"/>
            <w:tcBorders>
              <w:top w:val="single" w:sz="4" w:space="0" w:color="auto"/>
            </w:tcBorders>
            <w:noWrap/>
            <w:vAlign w:val="center"/>
          </w:tcPr>
          <w:p w14:paraId="152532A0" w14:textId="77777777" w:rsidR="00BF0F78" w:rsidRPr="00C60941" w:rsidRDefault="00000000">
            <w:pPr>
              <w:widowControl w:val="0"/>
              <w:overflowPunct w:val="0"/>
              <w:adjustRightInd w:val="0"/>
              <w:snapToGrid w:val="0"/>
              <w:spacing w:after="0" w:line="240" w:lineRule="auto"/>
              <w:rPr>
                <w:sz w:val="18"/>
                <w:szCs w:val="18"/>
              </w:rPr>
            </w:pPr>
            <w:r w:rsidRPr="00C60941">
              <w:rPr>
                <w:sz w:val="18"/>
                <w:szCs w:val="18"/>
              </w:rPr>
              <w:t>0.305</w:t>
            </w:r>
          </w:p>
        </w:tc>
        <w:tc>
          <w:tcPr>
            <w:tcW w:w="1288" w:type="dxa"/>
            <w:tcBorders>
              <w:top w:val="single" w:sz="4" w:space="0" w:color="auto"/>
            </w:tcBorders>
            <w:noWrap/>
            <w:vAlign w:val="center"/>
          </w:tcPr>
          <w:p w14:paraId="4F13DE32" w14:textId="77777777" w:rsidR="00BF0F78" w:rsidRPr="00C60941" w:rsidRDefault="00000000">
            <w:pPr>
              <w:widowControl w:val="0"/>
              <w:overflowPunct w:val="0"/>
              <w:adjustRightInd w:val="0"/>
              <w:snapToGrid w:val="0"/>
              <w:spacing w:after="0" w:line="240" w:lineRule="auto"/>
              <w:rPr>
                <w:sz w:val="18"/>
                <w:szCs w:val="18"/>
              </w:rPr>
            </w:pPr>
            <w:r w:rsidRPr="00C60941">
              <w:rPr>
                <w:sz w:val="18"/>
                <w:szCs w:val="18"/>
              </w:rPr>
              <w:t>0.763</w:t>
            </w:r>
          </w:p>
        </w:tc>
      </w:tr>
      <w:tr w:rsidR="009966AD" w:rsidRPr="00C60941" w14:paraId="28C33E2A" w14:textId="77777777">
        <w:trPr>
          <w:cantSplit/>
        </w:trPr>
        <w:tc>
          <w:tcPr>
            <w:tcW w:w="1512" w:type="dxa"/>
            <w:noWrap/>
            <w:vAlign w:val="center"/>
          </w:tcPr>
          <w:p w14:paraId="58AFED2A" w14:textId="77777777" w:rsidR="00BF0F78" w:rsidRPr="00C60941" w:rsidRDefault="00000000">
            <w:pPr>
              <w:widowControl w:val="0"/>
              <w:overflowPunct w:val="0"/>
              <w:adjustRightInd w:val="0"/>
              <w:snapToGrid w:val="0"/>
              <w:spacing w:after="0" w:line="240" w:lineRule="auto"/>
              <w:rPr>
                <w:iCs/>
                <w:sz w:val="18"/>
                <w:szCs w:val="18"/>
              </w:rPr>
            </w:pPr>
            <m:oMathPara>
              <m:oMathParaPr>
                <m:jc m:val="left"/>
              </m:oMathParaPr>
              <m:oMath>
                <m:r>
                  <m:rPr>
                    <m:sty m:val="p"/>
                  </m:rPr>
                  <w:rPr>
                    <w:rFonts w:ascii="Cambria Math" w:hAnsi="Cambria Math"/>
                    <w:sz w:val="18"/>
                    <w:szCs w:val="18"/>
                  </w:rPr>
                  <m:t>EDGDP</m:t>
                </m:r>
              </m:oMath>
            </m:oMathPara>
          </w:p>
        </w:tc>
        <w:tc>
          <w:tcPr>
            <w:tcW w:w="1498" w:type="dxa"/>
            <w:noWrap/>
            <w:vAlign w:val="center"/>
          </w:tcPr>
          <w:p w14:paraId="702A5373" w14:textId="77777777" w:rsidR="00BF0F78" w:rsidRPr="00C60941" w:rsidRDefault="00000000">
            <w:pPr>
              <w:widowControl w:val="0"/>
              <w:overflowPunct w:val="0"/>
              <w:adjustRightInd w:val="0"/>
              <w:snapToGrid w:val="0"/>
              <w:spacing w:after="0" w:line="240" w:lineRule="auto"/>
              <w:rPr>
                <w:sz w:val="18"/>
                <w:szCs w:val="18"/>
              </w:rPr>
            </w:pPr>
            <w:r w:rsidRPr="00C60941">
              <w:rPr>
                <w:sz w:val="18"/>
                <w:szCs w:val="18"/>
              </w:rPr>
              <w:t>0.140</w:t>
            </w:r>
          </w:p>
        </w:tc>
        <w:tc>
          <w:tcPr>
            <w:tcW w:w="1511" w:type="dxa"/>
            <w:noWrap/>
            <w:vAlign w:val="center"/>
          </w:tcPr>
          <w:p w14:paraId="22D051E6" w14:textId="77777777" w:rsidR="00BF0F78" w:rsidRPr="00C60941" w:rsidRDefault="00000000">
            <w:pPr>
              <w:widowControl w:val="0"/>
              <w:overflowPunct w:val="0"/>
              <w:adjustRightInd w:val="0"/>
              <w:snapToGrid w:val="0"/>
              <w:spacing w:after="0" w:line="240" w:lineRule="auto"/>
              <w:rPr>
                <w:sz w:val="18"/>
                <w:szCs w:val="18"/>
              </w:rPr>
            </w:pPr>
            <w:r w:rsidRPr="00C60941">
              <w:rPr>
                <w:sz w:val="18"/>
                <w:szCs w:val="18"/>
              </w:rPr>
              <w:t>0.039</w:t>
            </w:r>
          </w:p>
        </w:tc>
        <w:tc>
          <w:tcPr>
            <w:tcW w:w="1709" w:type="dxa"/>
            <w:noWrap/>
            <w:vAlign w:val="center"/>
          </w:tcPr>
          <w:p w14:paraId="2CE2A66B" w14:textId="77777777" w:rsidR="00BF0F78" w:rsidRPr="00C60941" w:rsidRDefault="00000000">
            <w:pPr>
              <w:widowControl w:val="0"/>
              <w:overflowPunct w:val="0"/>
              <w:adjustRightInd w:val="0"/>
              <w:snapToGrid w:val="0"/>
              <w:spacing w:after="0" w:line="240" w:lineRule="auto"/>
              <w:rPr>
                <w:sz w:val="18"/>
                <w:szCs w:val="18"/>
              </w:rPr>
            </w:pPr>
            <w:r w:rsidRPr="00C60941">
              <w:rPr>
                <w:sz w:val="18"/>
                <w:szCs w:val="18"/>
              </w:rPr>
              <w:t>3.596</w:t>
            </w:r>
          </w:p>
        </w:tc>
        <w:tc>
          <w:tcPr>
            <w:tcW w:w="1288" w:type="dxa"/>
            <w:noWrap/>
            <w:vAlign w:val="center"/>
          </w:tcPr>
          <w:p w14:paraId="0E1723C0" w14:textId="77777777" w:rsidR="00BF0F78" w:rsidRPr="00C60941" w:rsidRDefault="00000000">
            <w:pPr>
              <w:widowControl w:val="0"/>
              <w:overflowPunct w:val="0"/>
              <w:adjustRightInd w:val="0"/>
              <w:snapToGrid w:val="0"/>
              <w:spacing w:after="0" w:line="240" w:lineRule="auto"/>
              <w:rPr>
                <w:sz w:val="18"/>
                <w:szCs w:val="18"/>
              </w:rPr>
            </w:pPr>
            <w:r w:rsidRPr="00C60941">
              <w:rPr>
                <w:sz w:val="18"/>
                <w:szCs w:val="18"/>
              </w:rPr>
              <w:t>0.001***</w:t>
            </w:r>
          </w:p>
        </w:tc>
      </w:tr>
      <w:tr w:rsidR="009966AD" w:rsidRPr="00C60941" w14:paraId="714A5A82" w14:textId="77777777">
        <w:trPr>
          <w:cantSplit/>
        </w:trPr>
        <w:tc>
          <w:tcPr>
            <w:tcW w:w="1512" w:type="dxa"/>
            <w:noWrap/>
            <w:vAlign w:val="center"/>
          </w:tcPr>
          <w:p w14:paraId="65349AB0" w14:textId="77777777" w:rsidR="00BF0F78" w:rsidRPr="00C60941" w:rsidRDefault="00000000">
            <w:pPr>
              <w:widowControl w:val="0"/>
              <w:overflowPunct w:val="0"/>
              <w:adjustRightInd w:val="0"/>
              <w:snapToGrid w:val="0"/>
              <w:spacing w:after="0" w:line="240" w:lineRule="auto"/>
              <w:rPr>
                <w:iCs/>
                <w:sz w:val="18"/>
                <w:szCs w:val="18"/>
              </w:rPr>
            </w:pPr>
            <m:oMathPara>
              <m:oMathParaPr>
                <m:jc m:val="left"/>
              </m:oMathParaPr>
              <m:oMath>
                <m:r>
                  <m:rPr>
                    <m:sty m:val="p"/>
                  </m:rPr>
                  <w:rPr>
                    <w:rFonts w:ascii="Cambria Math" w:hAnsi="Cambria Math"/>
                    <w:sz w:val="18"/>
                    <w:szCs w:val="18"/>
                  </w:rPr>
                  <m:t>GOVEF</m:t>
                </m:r>
              </m:oMath>
            </m:oMathPara>
          </w:p>
        </w:tc>
        <w:tc>
          <w:tcPr>
            <w:tcW w:w="1498" w:type="dxa"/>
            <w:noWrap/>
            <w:vAlign w:val="center"/>
          </w:tcPr>
          <w:p w14:paraId="2E1F2C14" w14:textId="77777777" w:rsidR="00BF0F78" w:rsidRPr="00C60941" w:rsidRDefault="00000000">
            <w:pPr>
              <w:widowControl w:val="0"/>
              <w:overflowPunct w:val="0"/>
              <w:adjustRightInd w:val="0"/>
              <w:snapToGrid w:val="0"/>
              <w:spacing w:after="0" w:line="240" w:lineRule="auto"/>
              <w:rPr>
                <w:sz w:val="18"/>
                <w:szCs w:val="18"/>
              </w:rPr>
            </w:pPr>
            <w:r w:rsidRPr="00C60941">
              <w:rPr>
                <w:sz w:val="18"/>
                <w:szCs w:val="18"/>
              </w:rPr>
              <w:t>36.743</w:t>
            </w:r>
          </w:p>
        </w:tc>
        <w:tc>
          <w:tcPr>
            <w:tcW w:w="1511" w:type="dxa"/>
            <w:noWrap/>
            <w:vAlign w:val="center"/>
          </w:tcPr>
          <w:p w14:paraId="7CEAC272" w14:textId="77777777" w:rsidR="00BF0F78" w:rsidRPr="00C60941" w:rsidRDefault="00000000">
            <w:pPr>
              <w:widowControl w:val="0"/>
              <w:overflowPunct w:val="0"/>
              <w:adjustRightInd w:val="0"/>
              <w:snapToGrid w:val="0"/>
              <w:spacing w:after="0" w:line="240" w:lineRule="auto"/>
              <w:rPr>
                <w:sz w:val="18"/>
                <w:szCs w:val="18"/>
              </w:rPr>
            </w:pPr>
            <w:r w:rsidRPr="00C60941">
              <w:rPr>
                <w:sz w:val="18"/>
                <w:szCs w:val="18"/>
              </w:rPr>
              <w:t>8.926</w:t>
            </w:r>
          </w:p>
        </w:tc>
        <w:tc>
          <w:tcPr>
            <w:tcW w:w="1709" w:type="dxa"/>
            <w:noWrap/>
            <w:vAlign w:val="center"/>
          </w:tcPr>
          <w:p w14:paraId="55327EAE" w14:textId="77777777" w:rsidR="00BF0F78" w:rsidRPr="00C60941" w:rsidRDefault="00000000">
            <w:pPr>
              <w:widowControl w:val="0"/>
              <w:overflowPunct w:val="0"/>
              <w:adjustRightInd w:val="0"/>
              <w:snapToGrid w:val="0"/>
              <w:spacing w:after="0" w:line="240" w:lineRule="auto"/>
              <w:rPr>
                <w:sz w:val="18"/>
                <w:szCs w:val="18"/>
              </w:rPr>
            </w:pPr>
            <w:r w:rsidRPr="00C60941">
              <w:rPr>
                <w:sz w:val="18"/>
                <w:szCs w:val="18"/>
              </w:rPr>
              <w:t>4.117</w:t>
            </w:r>
          </w:p>
        </w:tc>
        <w:tc>
          <w:tcPr>
            <w:tcW w:w="1288" w:type="dxa"/>
            <w:noWrap/>
            <w:vAlign w:val="center"/>
          </w:tcPr>
          <w:p w14:paraId="0D32CF60" w14:textId="77777777" w:rsidR="00BF0F78" w:rsidRPr="00C60941" w:rsidRDefault="00000000">
            <w:pPr>
              <w:widowControl w:val="0"/>
              <w:overflowPunct w:val="0"/>
              <w:adjustRightInd w:val="0"/>
              <w:snapToGrid w:val="0"/>
              <w:spacing w:after="0" w:line="240" w:lineRule="auto"/>
              <w:rPr>
                <w:sz w:val="18"/>
                <w:szCs w:val="18"/>
              </w:rPr>
            </w:pPr>
            <w:r w:rsidRPr="00C60941">
              <w:rPr>
                <w:sz w:val="18"/>
                <w:szCs w:val="18"/>
              </w:rPr>
              <w:t>0.000***</w:t>
            </w:r>
          </w:p>
        </w:tc>
      </w:tr>
      <w:tr w:rsidR="009966AD" w:rsidRPr="00C60941" w14:paraId="0BA00CC7" w14:textId="77777777" w:rsidTr="00C60941">
        <w:trPr>
          <w:cantSplit/>
        </w:trPr>
        <w:tc>
          <w:tcPr>
            <w:tcW w:w="1512" w:type="dxa"/>
            <w:tcBorders>
              <w:bottom w:val="single" w:sz="4" w:space="0" w:color="auto"/>
            </w:tcBorders>
            <w:noWrap/>
            <w:vAlign w:val="center"/>
          </w:tcPr>
          <w:p w14:paraId="4C7F15C0" w14:textId="77777777" w:rsidR="00BF0F78" w:rsidRPr="00C60941" w:rsidRDefault="00000000">
            <w:pPr>
              <w:widowControl w:val="0"/>
              <w:overflowPunct w:val="0"/>
              <w:adjustRightInd w:val="0"/>
              <w:snapToGrid w:val="0"/>
              <w:spacing w:after="0" w:line="240" w:lineRule="auto"/>
              <w:rPr>
                <w:iCs/>
                <w:sz w:val="18"/>
                <w:szCs w:val="18"/>
              </w:rPr>
            </w:pPr>
            <w:r w:rsidRPr="00C60941">
              <w:rPr>
                <w:iCs/>
                <w:sz w:val="18"/>
                <w:szCs w:val="18"/>
              </w:rPr>
              <w:t>Intercept</w:t>
            </w:r>
          </w:p>
        </w:tc>
        <w:tc>
          <w:tcPr>
            <w:tcW w:w="1498" w:type="dxa"/>
            <w:tcBorders>
              <w:bottom w:val="single" w:sz="4" w:space="0" w:color="auto"/>
            </w:tcBorders>
            <w:noWrap/>
            <w:vAlign w:val="center"/>
          </w:tcPr>
          <w:p w14:paraId="42724F93" w14:textId="77777777" w:rsidR="00BF0F78" w:rsidRPr="00C60941" w:rsidRDefault="00000000">
            <w:pPr>
              <w:widowControl w:val="0"/>
              <w:overflowPunct w:val="0"/>
              <w:adjustRightInd w:val="0"/>
              <w:snapToGrid w:val="0"/>
              <w:spacing w:after="0" w:line="240" w:lineRule="auto"/>
              <w:rPr>
                <w:sz w:val="18"/>
                <w:szCs w:val="18"/>
              </w:rPr>
            </w:pPr>
            <w:r w:rsidRPr="00C60941">
              <w:rPr>
                <w:sz w:val="18"/>
                <w:szCs w:val="18"/>
              </w:rPr>
              <w:t>48.958</w:t>
            </w:r>
          </w:p>
        </w:tc>
        <w:tc>
          <w:tcPr>
            <w:tcW w:w="1511" w:type="dxa"/>
            <w:tcBorders>
              <w:bottom w:val="single" w:sz="4" w:space="0" w:color="auto"/>
            </w:tcBorders>
            <w:noWrap/>
            <w:vAlign w:val="center"/>
          </w:tcPr>
          <w:p w14:paraId="366398AA" w14:textId="77777777" w:rsidR="00BF0F78" w:rsidRPr="00C60941" w:rsidRDefault="00000000">
            <w:pPr>
              <w:widowControl w:val="0"/>
              <w:overflowPunct w:val="0"/>
              <w:adjustRightInd w:val="0"/>
              <w:snapToGrid w:val="0"/>
              <w:spacing w:after="0" w:line="240" w:lineRule="auto"/>
              <w:rPr>
                <w:sz w:val="18"/>
                <w:szCs w:val="18"/>
              </w:rPr>
            </w:pPr>
            <w:r w:rsidRPr="00C60941">
              <w:rPr>
                <w:sz w:val="18"/>
                <w:szCs w:val="18"/>
              </w:rPr>
              <w:t>9.447</w:t>
            </w:r>
          </w:p>
        </w:tc>
        <w:tc>
          <w:tcPr>
            <w:tcW w:w="1709" w:type="dxa"/>
            <w:tcBorders>
              <w:bottom w:val="single" w:sz="4" w:space="0" w:color="auto"/>
            </w:tcBorders>
            <w:noWrap/>
            <w:vAlign w:val="center"/>
          </w:tcPr>
          <w:p w14:paraId="25E47891" w14:textId="77777777" w:rsidR="00BF0F78" w:rsidRPr="00C60941" w:rsidRDefault="00000000">
            <w:pPr>
              <w:widowControl w:val="0"/>
              <w:overflowPunct w:val="0"/>
              <w:adjustRightInd w:val="0"/>
              <w:snapToGrid w:val="0"/>
              <w:spacing w:after="0" w:line="240" w:lineRule="auto"/>
              <w:rPr>
                <w:sz w:val="18"/>
                <w:szCs w:val="18"/>
              </w:rPr>
            </w:pPr>
            <w:r w:rsidRPr="00C60941">
              <w:rPr>
                <w:sz w:val="18"/>
                <w:szCs w:val="18"/>
              </w:rPr>
              <w:t>5.182</w:t>
            </w:r>
          </w:p>
        </w:tc>
        <w:tc>
          <w:tcPr>
            <w:tcW w:w="1288" w:type="dxa"/>
            <w:tcBorders>
              <w:bottom w:val="single" w:sz="4" w:space="0" w:color="auto"/>
            </w:tcBorders>
            <w:noWrap/>
            <w:vAlign w:val="center"/>
          </w:tcPr>
          <w:p w14:paraId="48F21F1A" w14:textId="77777777" w:rsidR="00BF0F78" w:rsidRPr="00C60941" w:rsidRDefault="00000000">
            <w:pPr>
              <w:widowControl w:val="0"/>
              <w:overflowPunct w:val="0"/>
              <w:adjustRightInd w:val="0"/>
              <w:snapToGrid w:val="0"/>
              <w:spacing w:after="0" w:line="240" w:lineRule="auto"/>
              <w:rPr>
                <w:sz w:val="18"/>
                <w:szCs w:val="18"/>
              </w:rPr>
            </w:pPr>
            <w:r w:rsidRPr="00C60941">
              <w:rPr>
                <w:sz w:val="18"/>
                <w:szCs w:val="18"/>
              </w:rPr>
              <w:t>0.000***</w:t>
            </w:r>
          </w:p>
        </w:tc>
      </w:tr>
      <w:tr w:rsidR="009966AD" w:rsidRPr="00C60941" w14:paraId="7B94A6FF" w14:textId="77777777" w:rsidTr="00C60941">
        <w:trPr>
          <w:cantSplit/>
        </w:trPr>
        <w:tc>
          <w:tcPr>
            <w:tcW w:w="7518" w:type="dxa"/>
            <w:gridSpan w:val="5"/>
            <w:tcBorders>
              <w:top w:val="single" w:sz="4" w:space="0" w:color="auto"/>
              <w:bottom w:val="nil"/>
            </w:tcBorders>
            <w:noWrap/>
            <w:vAlign w:val="center"/>
          </w:tcPr>
          <w:p w14:paraId="50B6457D" w14:textId="77777777" w:rsidR="00BF0F78" w:rsidRPr="00C60941" w:rsidRDefault="00000000">
            <w:pPr>
              <w:widowControl w:val="0"/>
              <w:overflowPunct w:val="0"/>
              <w:adjustRightInd w:val="0"/>
              <w:snapToGrid w:val="0"/>
              <w:spacing w:after="0" w:line="240" w:lineRule="auto"/>
              <w:rPr>
                <w:iCs/>
                <w:sz w:val="18"/>
                <w:szCs w:val="18"/>
              </w:rPr>
            </w:pPr>
            <w:r w:rsidRPr="00C60941">
              <w:rPr>
                <w:iCs/>
                <w:sz w:val="18"/>
                <w:szCs w:val="18"/>
              </w:rPr>
              <w:t>Short run output</w:t>
            </w:r>
          </w:p>
        </w:tc>
      </w:tr>
      <w:tr w:rsidR="009966AD" w:rsidRPr="00C60941" w14:paraId="327AC60B" w14:textId="77777777" w:rsidTr="00C60941">
        <w:trPr>
          <w:cantSplit/>
        </w:trPr>
        <w:tc>
          <w:tcPr>
            <w:tcW w:w="1512" w:type="dxa"/>
            <w:tcBorders>
              <w:top w:val="nil"/>
            </w:tcBorders>
            <w:noWrap/>
            <w:vAlign w:val="center"/>
          </w:tcPr>
          <w:p w14:paraId="10D775A2" w14:textId="77777777" w:rsidR="00BF0F78" w:rsidRPr="00C60941" w:rsidRDefault="00000000">
            <w:pPr>
              <w:widowControl w:val="0"/>
              <w:overflowPunct w:val="0"/>
              <w:adjustRightInd w:val="0"/>
              <w:snapToGrid w:val="0"/>
              <w:spacing w:after="0" w:line="240" w:lineRule="auto"/>
              <w:rPr>
                <w:iCs/>
                <w:sz w:val="18"/>
                <w:szCs w:val="18"/>
              </w:rPr>
            </w:pPr>
            <m:oMathPara>
              <m:oMathParaPr>
                <m:jc m:val="left"/>
              </m:oMathParaPr>
              <m:oMath>
                <m:r>
                  <m:rPr>
                    <m:sty m:val="p"/>
                  </m:rPr>
                  <w:rPr>
                    <w:rFonts w:ascii="Cambria Math" w:hAnsi="Cambria Math"/>
                    <w:sz w:val="18"/>
                    <w:szCs w:val="18"/>
                  </w:rPr>
                  <m:t>∆(EDGDP)</m:t>
                </m:r>
              </m:oMath>
            </m:oMathPara>
          </w:p>
        </w:tc>
        <w:tc>
          <w:tcPr>
            <w:tcW w:w="1498" w:type="dxa"/>
            <w:tcBorders>
              <w:top w:val="nil"/>
            </w:tcBorders>
            <w:noWrap/>
            <w:vAlign w:val="center"/>
          </w:tcPr>
          <w:p w14:paraId="34C87808" w14:textId="77777777" w:rsidR="00BF0F78" w:rsidRPr="00C60941" w:rsidRDefault="00000000">
            <w:pPr>
              <w:widowControl w:val="0"/>
              <w:overflowPunct w:val="0"/>
              <w:adjustRightInd w:val="0"/>
              <w:snapToGrid w:val="0"/>
              <w:spacing w:after="0" w:line="240" w:lineRule="auto"/>
              <w:rPr>
                <w:sz w:val="18"/>
                <w:szCs w:val="18"/>
              </w:rPr>
            </w:pPr>
            <w:r w:rsidRPr="00C60941">
              <w:rPr>
                <w:sz w:val="18"/>
                <w:szCs w:val="18"/>
              </w:rPr>
              <w:t>0.003</w:t>
            </w:r>
          </w:p>
        </w:tc>
        <w:tc>
          <w:tcPr>
            <w:tcW w:w="1511" w:type="dxa"/>
            <w:tcBorders>
              <w:top w:val="nil"/>
            </w:tcBorders>
            <w:noWrap/>
            <w:vAlign w:val="center"/>
          </w:tcPr>
          <w:p w14:paraId="09B19CE2" w14:textId="77777777" w:rsidR="00BF0F78" w:rsidRPr="00C60941" w:rsidRDefault="00000000">
            <w:pPr>
              <w:widowControl w:val="0"/>
              <w:overflowPunct w:val="0"/>
              <w:adjustRightInd w:val="0"/>
              <w:snapToGrid w:val="0"/>
              <w:spacing w:after="0" w:line="240" w:lineRule="auto"/>
              <w:rPr>
                <w:sz w:val="18"/>
                <w:szCs w:val="18"/>
              </w:rPr>
            </w:pPr>
            <w:r w:rsidRPr="00C60941">
              <w:rPr>
                <w:sz w:val="18"/>
                <w:szCs w:val="18"/>
              </w:rPr>
              <w:t>0.031</w:t>
            </w:r>
          </w:p>
        </w:tc>
        <w:tc>
          <w:tcPr>
            <w:tcW w:w="1709" w:type="dxa"/>
            <w:tcBorders>
              <w:top w:val="nil"/>
            </w:tcBorders>
            <w:noWrap/>
            <w:vAlign w:val="center"/>
          </w:tcPr>
          <w:p w14:paraId="7DDC32A2" w14:textId="77777777" w:rsidR="00BF0F78" w:rsidRPr="00C60941" w:rsidRDefault="00000000">
            <w:pPr>
              <w:widowControl w:val="0"/>
              <w:overflowPunct w:val="0"/>
              <w:adjustRightInd w:val="0"/>
              <w:snapToGrid w:val="0"/>
              <w:spacing w:after="0" w:line="240" w:lineRule="auto"/>
              <w:rPr>
                <w:sz w:val="18"/>
                <w:szCs w:val="18"/>
              </w:rPr>
            </w:pPr>
            <w:r w:rsidRPr="00C60941">
              <w:rPr>
                <w:sz w:val="18"/>
                <w:szCs w:val="18"/>
              </w:rPr>
              <w:t>0.104</w:t>
            </w:r>
          </w:p>
        </w:tc>
        <w:tc>
          <w:tcPr>
            <w:tcW w:w="1288" w:type="dxa"/>
            <w:tcBorders>
              <w:top w:val="nil"/>
            </w:tcBorders>
            <w:noWrap/>
            <w:vAlign w:val="center"/>
          </w:tcPr>
          <w:p w14:paraId="038F7B53" w14:textId="77777777" w:rsidR="00BF0F78" w:rsidRPr="00C60941" w:rsidRDefault="00000000">
            <w:pPr>
              <w:widowControl w:val="0"/>
              <w:overflowPunct w:val="0"/>
              <w:adjustRightInd w:val="0"/>
              <w:snapToGrid w:val="0"/>
              <w:spacing w:after="0" w:line="240" w:lineRule="auto"/>
              <w:rPr>
                <w:sz w:val="18"/>
                <w:szCs w:val="18"/>
              </w:rPr>
            </w:pPr>
            <w:r w:rsidRPr="00C60941">
              <w:rPr>
                <w:sz w:val="18"/>
                <w:szCs w:val="18"/>
              </w:rPr>
              <w:t>0.918</w:t>
            </w:r>
          </w:p>
        </w:tc>
      </w:tr>
      <w:tr w:rsidR="009966AD" w:rsidRPr="00C60941" w14:paraId="58FB5005" w14:textId="77777777">
        <w:trPr>
          <w:cantSplit/>
        </w:trPr>
        <w:tc>
          <w:tcPr>
            <w:tcW w:w="1512" w:type="dxa"/>
            <w:noWrap/>
            <w:vAlign w:val="center"/>
          </w:tcPr>
          <w:p w14:paraId="2B0C51E3" w14:textId="77777777" w:rsidR="00BF0F78" w:rsidRPr="00C60941" w:rsidRDefault="00000000">
            <w:pPr>
              <w:widowControl w:val="0"/>
              <w:overflowPunct w:val="0"/>
              <w:adjustRightInd w:val="0"/>
              <w:snapToGrid w:val="0"/>
              <w:spacing w:after="0" w:line="240" w:lineRule="auto"/>
              <w:rPr>
                <w:iCs/>
                <w:sz w:val="18"/>
                <w:szCs w:val="18"/>
              </w:rPr>
            </w:pPr>
            <m:oMathPara>
              <m:oMathParaPr>
                <m:jc m:val="left"/>
              </m:oMathParaPr>
              <m:oMath>
                <m:r>
                  <m:rPr>
                    <m:sty m:val="p"/>
                  </m:rPr>
                  <w:rPr>
                    <w:rFonts w:ascii="Cambria Math" w:hAnsi="Cambria Math"/>
                    <w:sz w:val="18"/>
                    <w:szCs w:val="18"/>
                  </w:rPr>
                  <m:t>∆(GOVEF)</m:t>
                </m:r>
              </m:oMath>
            </m:oMathPara>
          </w:p>
        </w:tc>
        <w:tc>
          <w:tcPr>
            <w:tcW w:w="1498" w:type="dxa"/>
            <w:noWrap/>
            <w:vAlign w:val="center"/>
          </w:tcPr>
          <w:p w14:paraId="12AE4CA8" w14:textId="77777777" w:rsidR="00BF0F78" w:rsidRPr="00C60941" w:rsidRDefault="00000000">
            <w:pPr>
              <w:widowControl w:val="0"/>
              <w:overflowPunct w:val="0"/>
              <w:adjustRightInd w:val="0"/>
              <w:snapToGrid w:val="0"/>
              <w:spacing w:after="0" w:line="240" w:lineRule="auto"/>
              <w:rPr>
                <w:sz w:val="18"/>
                <w:szCs w:val="18"/>
              </w:rPr>
            </w:pPr>
            <w:r w:rsidRPr="00C60941">
              <w:rPr>
                <w:sz w:val="18"/>
                <w:szCs w:val="18"/>
              </w:rPr>
              <w:t>6.175</w:t>
            </w:r>
          </w:p>
        </w:tc>
        <w:tc>
          <w:tcPr>
            <w:tcW w:w="1511" w:type="dxa"/>
            <w:noWrap/>
            <w:vAlign w:val="center"/>
          </w:tcPr>
          <w:p w14:paraId="43BF7EAE" w14:textId="77777777" w:rsidR="00BF0F78" w:rsidRPr="00C60941" w:rsidRDefault="00000000">
            <w:pPr>
              <w:widowControl w:val="0"/>
              <w:overflowPunct w:val="0"/>
              <w:adjustRightInd w:val="0"/>
              <w:snapToGrid w:val="0"/>
              <w:spacing w:after="0" w:line="240" w:lineRule="auto"/>
              <w:rPr>
                <w:sz w:val="18"/>
                <w:szCs w:val="18"/>
              </w:rPr>
            </w:pPr>
            <w:r w:rsidRPr="00C60941">
              <w:rPr>
                <w:sz w:val="18"/>
                <w:szCs w:val="18"/>
              </w:rPr>
              <w:t>2.089</w:t>
            </w:r>
          </w:p>
        </w:tc>
        <w:tc>
          <w:tcPr>
            <w:tcW w:w="1709" w:type="dxa"/>
            <w:noWrap/>
            <w:vAlign w:val="center"/>
          </w:tcPr>
          <w:p w14:paraId="246BB526" w14:textId="77777777" w:rsidR="00BF0F78" w:rsidRPr="00C60941" w:rsidRDefault="00000000">
            <w:pPr>
              <w:widowControl w:val="0"/>
              <w:overflowPunct w:val="0"/>
              <w:adjustRightInd w:val="0"/>
              <w:snapToGrid w:val="0"/>
              <w:spacing w:after="0" w:line="240" w:lineRule="auto"/>
              <w:rPr>
                <w:sz w:val="18"/>
                <w:szCs w:val="18"/>
              </w:rPr>
            </w:pPr>
            <w:r w:rsidRPr="00C60941">
              <w:rPr>
                <w:sz w:val="18"/>
                <w:szCs w:val="18"/>
              </w:rPr>
              <w:t>2.956</w:t>
            </w:r>
          </w:p>
        </w:tc>
        <w:tc>
          <w:tcPr>
            <w:tcW w:w="1288" w:type="dxa"/>
            <w:noWrap/>
            <w:vAlign w:val="center"/>
          </w:tcPr>
          <w:p w14:paraId="531147C6" w14:textId="77777777" w:rsidR="00BF0F78" w:rsidRPr="00C60941" w:rsidRDefault="00000000">
            <w:pPr>
              <w:widowControl w:val="0"/>
              <w:overflowPunct w:val="0"/>
              <w:adjustRightInd w:val="0"/>
              <w:snapToGrid w:val="0"/>
              <w:spacing w:after="0" w:line="240" w:lineRule="auto"/>
              <w:rPr>
                <w:sz w:val="18"/>
                <w:szCs w:val="18"/>
              </w:rPr>
            </w:pPr>
            <w:r w:rsidRPr="00C60941">
              <w:rPr>
                <w:sz w:val="18"/>
                <w:szCs w:val="18"/>
              </w:rPr>
              <w:t>0.007***</w:t>
            </w:r>
          </w:p>
        </w:tc>
      </w:tr>
      <w:tr w:rsidR="009966AD" w:rsidRPr="00C60941" w14:paraId="318779F1" w14:textId="77777777" w:rsidTr="00C60941">
        <w:trPr>
          <w:cantSplit/>
        </w:trPr>
        <w:tc>
          <w:tcPr>
            <w:tcW w:w="1512" w:type="dxa"/>
            <w:tcBorders>
              <w:bottom w:val="single" w:sz="4" w:space="0" w:color="auto"/>
            </w:tcBorders>
            <w:noWrap/>
            <w:vAlign w:val="center"/>
          </w:tcPr>
          <w:p w14:paraId="3C39A888" w14:textId="77777777" w:rsidR="00BF0F78" w:rsidRPr="00C60941" w:rsidRDefault="00000000">
            <w:pPr>
              <w:widowControl w:val="0"/>
              <w:overflowPunct w:val="0"/>
              <w:adjustRightInd w:val="0"/>
              <w:snapToGrid w:val="0"/>
              <w:spacing w:after="0" w:line="240" w:lineRule="auto"/>
              <w:rPr>
                <w:iCs/>
                <w:sz w:val="18"/>
                <w:szCs w:val="18"/>
              </w:rPr>
            </w:pPr>
            <m:oMathPara>
              <m:oMathParaPr>
                <m:jc m:val="left"/>
              </m:oMathParaPr>
              <m:oMath>
                <m:r>
                  <m:rPr>
                    <m:sty m:val="p"/>
                  </m:rPr>
                  <w:rPr>
                    <w:rFonts w:ascii="Cambria Math" w:hAnsi="Cambria Math"/>
                    <w:sz w:val="18"/>
                    <w:szCs w:val="18"/>
                  </w:rPr>
                  <m:t>ECM(-1)</m:t>
                </m:r>
              </m:oMath>
            </m:oMathPara>
          </w:p>
        </w:tc>
        <w:tc>
          <w:tcPr>
            <w:tcW w:w="1498" w:type="dxa"/>
            <w:tcBorders>
              <w:bottom w:val="single" w:sz="4" w:space="0" w:color="auto"/>
            </w:tcBorders>
            <w:noWrap/>
            <w:vAlign w:val="center"/>
          </w:tcPr>
          <w:p w14:paraId="0B0345A6" w14:textId="77777777" w:rsidR="00BF0F78" w:rsidRPr="00C60941" w:rsidRDefault="00000000">
            <w:pPr>
              <w:widowControl w:val="0"/>
              <w:overflowPunct w:val="0"/>
              <w:adjustRightInd w:val="0"/>
              <w:snapToGrid w:val="0"/>
              <w:spacing w:after="0" w:line="240" w:lineRule="auto"/>
              <w:rPr>
                <w:sz w:val="18"/>
                <w:szCs w:val="18"/>
              </w:rPr>
            </w:pPr>
            <w:r w:rsidRPr="00C60941">
              <w:rPr>
                <w:sz w:val="18"/>
                <w:szCs w:val="18"/>
              </w:rPr>
              <w:t>−0.412</w:t>
            </w:r>
          </w:p>
        </w:tc>
        <w:tc>
          <w:tcPr>
            <w:tcW w:w="1511" w:type="dxa"/>
            <w:tcBorders>
              <w:bottom w:val="single" w:sz="4" w:space="0" w:color="auto"/>
            </w:tcBorders>
            <w:noWrap/>
            <w:vAlign w:val="center"/>
          </w:tcPr>
          <w:p w14:paraId="1793956C" w14:textId="77777777" w:rsidR="00BF0F78" w:rsidRPr="00C60941" w:rsidRDefault="00000000">
            <w:pPr>
              <w:widowControl w:val="0"/>
              <w:overflowPunct w:val="0"/>
              <w:adjustRightInd w:val="0"/>
              <w:snapToGrid w:val="0"/>
              <w:spacing w:after="0" w:line="240" w:lineRule="auto"/>
              <w:rPr>
                <w:sz w:val="18"/>
                <w:szCs w:val="18"/>
              </w:rPr>
            </w:pPr>
            <w:r w:rsidRPr="00C60941">
              <w:rPr>
                <w:sz w:val="18"/>
                <w:szCs w:val="18"/>
              </w:rPr>
              <w:t>0.086</w:t>
            </w:r>
          </w:p>
        </w:tc>
        <w:tc>
          <w:tcPr>
            <w:tcW w:w="1709" w:type="dxa"/>
            <w:tcBorders>
              <w:bottom w:val="single" w:sz="4" w:space="0" w:color="auto"/>
            </w:tcBorders>
            <w:noWrap/>
            <w:vAlign w:val="center"/>
          </w:tcPr>
          <w:p w14:paraId="13D818D8" w14:textId="77777777" w:rsidR="00BF0F78" w:rsidRPr="00C60941" w:rsidRDefault="00000000">
            <w:pPr>
              <w:widowControl w:val="0"/>
              <w:overflowPunct w:val="0"/>
              <w:adjustRightInd w:val="0"/>
              <w:snapToGrid w:val="0"/>
              <w:spacing w:after="0" w:line="240" w:lineRule="auto"/>
              <w:rPr>
                <w:sz w:val="18"/>
                <w:szCs w:val="18"/>
              </w:rPr>
            </w:pPr>
            <w:r w:rsidRPr="00C60941">
              <w:rPr>
                <w:sz w:val="18"/>
                <w:szCs w:val="18"/>
              </w:rPr>
              <w:t>−4.774</w:t>
            </w:r>
          </w:p>
        </w:tc>
        <w:tc>
          <w:tcPr>
            <w:tcW w:w="1288" w:type="dxa"/>
            <w:tcBorders>
              <w:bottom w:val="single" w:sz="4" w:space="0" w:color="auto"/>
            </w:tcBorders>
            <w:noWrap/>
            <w:vAlign w:val="center"/>
          </w:tcPr>
          <w:p w14:paraId="643DCA51" w14:textId="77777777" w:rsidR="00BF0F78" w:rsidRPr="00C60941" w:rsidRDefault="00000000">
            <w:pPr>
              <w:widowControl w:val="0"/>
              <w:overflowPunct w:val="0"/>
              <w:adjustRightInd w:val="0"/>
              <w:snapToGrid w:val="0"/>
              <w:spacing w:after="0" w:line="240" w:lineRule="auto"/>
              <w:rPr>
                <w:sz w:val="18"/>
                <w:szCs w:val="18"/>
              </w:rPr>
            </w:pPr>
            <w:r w:rsidRPr="00C60941">
              <w:rPr>
                <w:sz w:val="18"/>
                <w:szCs w:val="18"/>
              </w:rPr>
              <w:t>0.000***</w:t>
            </w:r>
          </w:p>
        </w:tc>
      </w:tr>
      <w:tr w:rsidR="009966AD" w:rsidRPr="00C60941" w14:paraId="56A1CCDF" w14:textId="77777777" w:rsidTr="00C60941">
        <w:trPr>
          <w:cantSplit/>
        </w:trPr>
        <w:tc>
          <w:tcPr>
            <w:tcW w:w="1512" w:type="dxa"/>
            <w:tcBorders>
              <w:top w:val="single" w:sz="4" w:space="0" w:color="auto"/>
              <w:bottom w:val="nil"/>
            </w:tcBorders>
            <w:noWrap/>
            <w:vAlign w:val="center"/>
          </w:tcPr>
          <w:p w14:paraId="355DD756" w14:textId="77777777" w:rsidR="00BF0F78" w:rsidRPr="00C60941" w:rsidRDefault="00000000">
            <w:pPr>
              <w:widowControl w:val="0"/>
              <w:overflowPunct w:val="0"/>
              <w:adjustRightInd w:val="0"/>
              <w:snapToGrid w:val="0"/>
              <w:spacing w:after="0" w:line="240" w:lineRule="auto"/>
              <w:rPr>
                <w:sz w:val="18"/>
                <w:szCs w:val="18"/>
              </w:rPr>
            </w:pPr>
            <w:r w:rsidRPr="00C60941">
              <w:rPr>
                <w:sz w:val="18"/>
                <w:szCs w:val="18"/>
              </w:rPr>
              <w:t>Diagnostic test</w:t>
            </w:r>
          </w:p>
        </w:tc>
        <w:tc>
          <w:tcPr>
            <w:tcW w:w="1498" w:type="dxa"/>
            <w:tcBorders>
              <w:top w:val="single" w:sz="4" w:space="0" w:color="auto"/>
              <w:bottom w:val="nil"/>
            </w:tcBorders>
            <w:noWrap/>
            <w:vAlign w:val="center"/>
          </w:tcPr>
          <w:p w14:paraId="6C1ACE57" w14:textId="77777777" w:rsidR="00BF0F78" w:rsidRPr="00C60941" w:rsidRDefault="00BF0F78">
            <w:pPr>
              <w:widowControl w:val="0"/>
              <w:overflowPunct w:val="0"/>
              <w:adjustRightInd w:val="0"/>
              <w:snapToGrid w:val="0"/>
              <w:spacing w:after="0" w:line="240" w:lineRule="auto"/>
              <w:rPr>
                <w:sz w:val="18"/>
                <w:szCs w:val="18"/>
              </w:rPr>
            </w:pPr>
          </w:p>
        </w:tc>
        <w:tc>
          <w:tcPr>
            <w:tcW w:w="1511" w:type="dxa"/>
            <w:tcBorders>
              <w:top w:val="single" w:sz="4" w:space="0" w:color="auto"/>
              <w:bottom w:val="nil"/>
            </w:tcBorders>
            <w:noWrap/>
            <w:vAlign w:val="center"/>
          </w:tcPr>
          <w:p w14:paraId="5B6AC01D" w14:textId="77777777" w:rsidR="00BF0F78" w:rsidRPr="00C60941" w:rsidRDefault="00BF0F78">
            <w:pPr>
              <w:widowControl w:val="0"/>
              <w:overflowPunct w:val="0"/>
              <w:adjustRightInd w:val="0"/>
              <w:snapToGrid w:val="0"/>
              <w:spacing w:after="0" w:line="240" w:lineRule="auto"/>
              <w:rPr>
                <w:sz w:val="18"/>
                <w:szCs w:val="18"/>
              </w:rPr>
            </w:pPr>
          </w:p>
        </w:tc>
        <w:tc>
          <w:tcPr>
            <w:tcW w:w="1709" w:type="dxa"/>
            <w:tcBorders>
              <w:top w:val="single" w:sz="4" w:space="0" w:color="auto"/>
              <w:bottom w:val="nil"/>
            </w:tcBorders>
            <w:noWrap/>
            <w:vAlign w:val="center"/>
          </w:tcPr>
          <w:p w14:paraId="2958F094" w14:textId="77777777" w:rsidR="00BF0F78" w:rsidRPr="00C60941" w:rsidRDefault="00BF0F78">
            <w:pPr>
              <w:widowControl w:val="0"/>
              <w:overflowPunct w:val="0"/>
              <w:adjustRightInd w:val="0"/>
              <w:snapToGrid w:val="0"/>
              <w:spacing w:after="0" w:line="240" w:lineRule="auto"/>
              <w:rPr>
                <w:sz w:val="18"/>
                <w:szCs w:val="18"/>
              </w:rPr>
            </w:pPr>
          </w:p>
        </w:tc>
        <w:tc>
          <w:tcPr>
            <w:tcW w:w="1288" w:type="dxa"/>
            <w:tcBorders>
              <w:top w:val="single" w:sz="4" w:space="0" w:color="auto"/>
              <w:bottom w:val="nil"/>
            </w:tcBorders>
            <w:noWrap/>
            <w:vAlign w:val="center"/>
          </w:tcPr>
          <w:p w14:paraId="541221A6" w14:textId="77777777" w:rsidR="00BF0F78" w:rsidRPr="00C60941" w:rsidRDefault="00BF0F78">
            <w:pPr>
              <w:widowControl w:val="0"/>
              <w:overflowPunct w:val="0"/>
              <w:adjustRightInd w:val="0"/>
              <w:snapToGrid w:val="0"/>
              <w:spacing w:after="0" w:line="240" w:lineRule="auto"/>
              <w:rPr>
                <w:sz w:val="18"/>
                <w:szCs w:val="18"/>
              </w:rPr>
            </w:pPr>
          </w:p>
        </w:tc>
      </w:tr>
      <w:tr w:rsidR="009966AD" w:rsidRPr="00C60941" w14:paraId="1626A7A7" w14:textId="77777777" w:rsidTr="00C60941">
        <w:trPr>
          <w:cantSplit/>
        </w:trPr>
        <w:tc>
          <w:tcPr>
            <w:tcW w:w="1512" w:type="dxa"/>
            <w:tcBorders>
              <w:top w:val="nil"/>
            </w:tcBorders>
            <w:noWrap/>
            <w:vAlign w:val="center"/>
          </w:tcPr>
          <w:p w14:paraId="183D729D" w14:textId="77777777" w:rsidR="00BF0F78" w:rsidRPr="00C60941" w:rsidRDefault="00000000">
            <w:pPr>
              <w:widowControl w:val="0"/>
              <w:overflowPunct w:val="0"/>
              <w:adjustRightInd w:val="0"/>
              <w:snapToGrid w:val="0"/>
              <w:spacing w:after="0" w:line="240" w:lineRule="auto"/>
              <w:rPr>
                <w:sz w:val="18"/>
                <w:szCs w:val="18"/>
              </w:rPr>
            </w:pPr>
            <w:r w:rsidRPr="00C60941">
              <w:rPr>
                <w:sz w:val="18"/>
                <w:szCs w:val="18"/>
              </w:rPr>
              <w:t>Normality</w:t>
            </w:r>
          </w:p>
        </w:tc>
        <w:tc>
          <w:tcPr>
            <w:tcW w:w="1498" w:type="dxa"/>
            <w:tcBorders>
              <w:top w:val="nil"/>
            </w:tcBorders>
            <w:noWrap/>
            <w:vAlign w:val="center"/>
          </w:tcPr>
          <w:p w14:paraId="08629E38" w14:textId="77777777" w:rsidR="00BF0F78" w:rsidRPr="00C60941" w:rsidRDefault="00000000">
            <w:pPr>
              <w:widowControl w:val="0"/>
              <w:overflowPunct w:val="0"/>
              <w:adjustRightInd w:val="0"/>
              <w:snapToGrid w:val="0"/>
              <w:spacing w:after="0" w:line="240" w:lineRule="auto"/>
              <w:rPr>
                <w:sz w:val="18"/>
                <w:szCs w:val="18"/>
              </w:rPr>
            </w:pPr>
            <w:r w:rsidRPr="00C60941">
              <w:rPr>
                <w:sz w:val="18"/>
                <w:szCs w:val="18"/>
              </w:rPr>
              <w:t>0.895</w:t>
            </w:r>
          </w:p>
        </w:tc>
        <w:tc>
          <w:tcPr>
            <w:tcW w:w="1511" w:type="dxa"/>
            <w:tcBorders>
              <w:top w:val="nil"/>
            </w:tcBorders>
            <w:noWrap/>
            <w:vAlign w:val="center"/>
          </w:tcPr>
          <w:p w14:paraId="4A5C9220" w14:textId="77777777" w:rsidR="00BF0F78" w:rsidRPr="00C60941" w:rsidRDefault="00BF0F78">
            <w:pPr>
              <w:widowControl w:val="0"/>
              <w:overflowPunct w:val="0"/>
              <w:adjustRightInd w:val="0"/>
              <w:snapToGrid w:val="0"/>
              <w:spacing w:after="0" w:line="240" w:lineRule="auto"/>
              <w:rPr>
                <w:sz w:val="18"/>
                <w:szCs w:val="18"/>
              </w:rPr>
            </w:pPr>
          </w:p>
        </w:tc>
        <w:tc>
          <w:tcPr>
            <w:tcW w:w="1709" w:type="dxa"/>
            <w:tcBorders>
              <w:top w:val="nil"/>
            </w:tcBorders>
            <w:noWrap/>
            <w:vAlign w:val="center"/>
          </w:tcPr>
          <w:p w14:paraId="5C5EAFEA" w14:textId="77777777" w:rsidR="00BF0F78" w:rsidRPr="00C60941" w:rsidRDefault="00000000">
            <w:pPr>
              <w:widowControl w:val="0"/>
              <w:overflowPunct w:val="0"/>
              <w:adjustRightInd w:val="0"/>
              <w:snapToGrid w:val="0"/>
              <w:spacing w:after="0" w:line="240" w:lineRule="auto"/>
              <w:rPr>
                <w:sz w:val="18"/>
                <w:szCs w:val="18"/>
              </w:rPr>
            </w:pPr>
            <m:oMathPara>
              <m:oMathParaPr>
                <m:jc m:val="left"/>
              </m:oMathParaPr>
              <m:oMath>
                <m:sSup>
                  <m:sSupPr>
                    <m:ctrlPr>
                      <w:rPr>
                        <w:rFonts w:ascii="Cambria Math" w:hAnsi="Cambria Math"/>
                        <w:sz w:val="18"/>
                        <w:szCs w:val="18"/>
                      </w:rPr>
                    </m:ctrlPr>
                  </m:sSupPr>
                  <m:e>
                    <m:r>
                      <w:rPr>
                        <w:rFonts w:ascii="Cambria Math" w:hAnsi="Cambria Math"/>
                        <w:sz w:val="18"/>
                        <w:szCs w:val="18"/>
                      </w:rPr>
                      <m:t>R</m:t>
                    </m:r>
                  </m:e>
                  <m:sup>
                    <m:r>
                      <w:rPr>
                        <w:rFonts w:ascii="Cambria Math" w:hAnsi="Cambria Math"/>
                        <w:sz w:val="18"/>
                        <w:szCs w:val="18"/>
                      </w:rPr>
                      <m:t>2</m:t>
                    </m:r>
                  </m:sup>
                </m:sSup>
              </m:oMath>
            </m:oMathPara>
          </w:p>
        </w:tc>
        <w:tc>
          <w:tcPr>
            <w:tcW w:w="1288" w:type="dxa"/>
            <w:tcBorders>
              <w:top w:val="nil"/>
            </w:tcBorders>
            <w:noWrap/>
            <w:vAlign w:val="center"/>
          </w:tcPr>
          <w:p w14:paraId="378F7921" w14:textId="77777777" w:rsidR="00BF0F78" w:rsidRPr="00C60941" w:rsidRDefault="00000000">
            <w:pPr>
              <w:widowControl w:val="0"/>
              <w:overflowPunct w:val="0"/>
              <w:adjustRightInd w:val="0"/>
              <w:snapToGrid w:val="0"/>
              <w:spacing w:after="0" w:line="240" w:lineRule="auto"/>
              <w:rPr>
                <w:sz w:val="18"/>
                <w:szCs w:val="18"/>
              </w:rPr>
            </w:pPr>
            <w:r w:rsidRPr="00C60941">
              <w:rPr>
                <w:sz w:val="18"/>
                <w:szCs w:val="18"/>
              </w:rPr>
              <w:t>0.44</w:t>
            </w:r>
          </w:p>
        </w:tc>
      </w:tr>
      <w:tr w:rsidR="009966AD" w:rsidRPr="00C60941" w14:paraId="652FE933" w14:textId="77777777">
        <w:trPr>
          <w:cantSplit/>
        </w:trPr>
        <w:tc>
          <w:tcPr>
            <w:tcW w:w="1512" w:type="dxa"/>
            <w:noWrap/>
            <w:vAlign w:val="center"/>
          </w:tcPr>
          <w:p w14:paraId="63FA8224" w14:textId="77777777" w:rsidR="00BF0F78" w:rsidRPr="00C60941" w:rsidRDefault="00000000">
            <w:pPr>
              <w:widowControl w:val="0"/>
              <w:overflowPunct w:val="0"/>
              <w:adjustRightInd w:val="0"/>
              <w:snapToGrid w:val="0"/>
              <w:spacing w:after="0" w:line="240" w:lineRule="auto"/>
              <w:rPr>
                <w:sz w:val="18"/>
                <w:szCs w:val="18"/>
              </w:rPr>
            </w:pPr>
            <w:r w:rsidRPr="00C60941">
              <w:rPr>
                <w:sz w:val="18"/>
                <w:szCs w:val="18"/>
              </w:rPr>
              <w:t>Serial-correlation</w:t>
            </w:r>
          </w:p>
        </w:tc>
        <w:tc>
          <w:tcPr>
            <w:tcW w:w="1498" w:type="dxa"/>
            <w:noWrap/>
            <w:vAlign w:val="center"/>
          </w:tcPr>
          <w:p w14:paraId="1C5F7C11" w14:textId="77777777" w:rsidR="00BF0F78" w:rsidRPr="00C60941" w:rsidRDefault="00000000">
            <w:pPr>
              <w:widowControl w:val="0"/>
              <w:overflowPunct w:val="0"/>
              <w:adjustRightInd w:val="0"/>
              <w:snapToGrid w:val="0"/>
              <w:spacing w:after="0" w:line="240" w:lineRule="auto"/>
              <w:rPr>
                <w:sz w:val="18"/>
                <w:szCs w:val="18"/>
              </w:rPr>
            </w:pPr>
            <w:r w:rsidRPr="00C60941">
              <w:rPr>
                <w:sz w:val="18"/>
                <w:szCs w:val="18"/>
              </w:rPr>
              <w:t>0.559</w:t>
            </w:r>
          </w:p>
        </w:tc>
        <w:tc>
          <w:tcPr>
            <w:tcW w:w="1511" w:type="dxa"/>
            <w:noWrap/>
            <w:vAlign w:val="center"/>
          </w:tcPr>
          <w:p w14:paraId="16275B9D" w14:textId="77777777" w:rsidR="00BF0F78" w:rsidRPr="00C60941" w:rsidRDefault="00BF0F78">
            <w:pPr>
              <w:widowControl w:val="0"/>
              <w:overflowPunct w:val="0"/>
              <w:adjustRightInd w:val="0"/>
              <w:snapToGrid w:val="0"/>
              <w:spacing w:after="0" w:line="240" w:lineRule="auto"/>
              <w:rPr>
                <w:sz w:val="18"/>
                <w:szCs w:val="18"/>
              </w:rPr>
            </w:pPr>
          </w:p>
        </w:tc>
        <w:tc>
          <w:tcPr>
            <w:tcW w:w="1709" w:type="dxa"/>
            <w:noWrap/>
            <w:vAlign w:val="center"/>
          </w:tcPr>
          <w:p w14:paraId="7EF25BCA" w14:textId="77777777" w:rsidR="00BF0F78" w:rsidRPr="00C60941" w:rsidRDefault="00000000">
            <w:pPr>
              <w:widowControl w:val="0"/>
              <w:overflowPunct w:val="0"/>
              <w:adjustRightInd w:val="0"/>
              <w:snapToGrid w:val="0"/>
              <w:spacing w:after="0" w:line="240" w:lineRule="auto"/>
              <w:rPr>
                <w:sz w:val="18"/>
                <w:szCs w:val="18"/>
              </w:rPr>
            </w:pPr>
            <m:oMathPara>
              <m:oMathParaPr>
                <m:jc m:val="left"/>
              </m:oMathParaPr>
              <m:oMath>
                <m:sSup>
                  <m:sSupPr>
                    <m:ctrlPr>
                      <w:rPr>
                        <w:rFonts w:ascii="Cambria Math" w:hAnsi="Cambria Math"/>
                        <w:sz w:val="18"/>
                        <w:szCs w:val="18"/>
                      </w:rPr>
                    </m:ctrlPr>
                  </m:sSupPr>
                  <m:e>
                    <m:r>
                      <w:rPr>
                        <w:rFonts w:ascii="Cambria Math" w:hAnsi="Cambria Math"/>
                        <w:sz w:val="18"/>
                        <w:szCs w:val="18"/>
                      </w:rPr>
                      <m:t>Adj.R</m:t>
                    </m:r>
                  </m:e>
                  <m:sup>
                    <m:r>
                      <w:rPr>
                        <w:rFonts w:ascii="Cambria Math" w:hAnsi="Cambria Math"/>
                        <w:sz w:val="18"/>
                        <w:szCs w:val="18"/>
                      </w:rPr>
                      <m:t>2</m:t>
                    </m:r>
                  </m:sup>
                </m:sSup>
              </m:oMath>
            </m:oMathPara>
          </w:p>
        </w:tc>
        <w:tc>
          <w:tcPr>
            <w:tcW w:w="1288" w:type="dxa"/>
            <w:noWrap/>
            <w:vAlign w:val="center"/>
          </w:tcPr>
          <w:p w14:paraId="32B858B5" w14:textId="77777777" w:rsidR="00BF0F78" w:rsidRPr="00C60941" w:rsidRDefault="00000000">
            <w:pPr>
              <w:widowControl w:val="0"/>
              <w:overflowPunct w:val="0"/>
              <w:adjustRightInd w:val="0"/>
              <w:snapToGrid w:val="0"/>
              <w:spacing w:after="0" w:line="240" w:lineRule="auto"/>
              <w:rPr>
                <w:sz w:val="18"/>
                <w:szCs w:val="18"/>
              </w:rPr>
            </w:pPr>
            <w:r w:rsidRPr="00C60941">
              <w:rPr>
                <w:sz w:val="18"/>
                <w:szCs w:val="18"/>
              </w:rPr>
              <w:t>0.40</w:t>
            </w:r>
          </w:p>
        </w:tc>
      </w:tr>
      <w:tr w:rsidR="009966AD" w:rsidRPr="00C60941" w14:paraId="4FFD5EFE" w14:textId="77777777">
        <w:trPr>
          <w:cantSplit/>
        </w:trPr>
        <w:tc>
          <w:tcPr>
            <w:tcW w:w="1512" w:type="dxa"/>
            <w:noWrap/>
            <w:vAlign w:val="center"/>
          </w:tcPr>
          <w:p w14:paraId="7A12345F" w14:textId="77777777" w:rsidR="00BF0F78" w:rsidRPr="00C60941" w:rsidRDefault="00000000">
            <w:pPr>
              <w:widowControl w:val="0"/>
              <w:overflowPunct w:val="0"/>
              <w:adjustRightInd w:val="0"/>
              <w:snapToGrid w:val="0"/>
              <w:spacing w:after="0" w:line="240" w:lineRule="auto"/>
              <w:rPr>
                <w:sz w:val="18"/>
                <w:szCs w:val="18"/>
              </w:rPr>
            </w:pPr>
            <w:r w:rsidRPr="00C60941">
              <w:rPr>
                <w:sz w:val="18"/>
                <w:szCs w:val="18"/>
              </w:rPr>
              <w:t>Heteroscedasticity</w:t>
            </w:r>
          </w:p>
        </w:tc>
        <w:tc>
          <w:tcPr>
            <w:tcW w:w="1498" w:type="dxa"/>
            <w:noWrap/>
            <w:vAlign w:val="center"/>
          </w:tcPr>
          <w:p w14:paraId="27702177" w14:textId="77777777" w:rsidR="00BF0F78" w:rsidRPr="00C60941" w:rsidRDefault="00000000">
            <w:pPr>
              <w:widowControl w:val="0"/>
              <w:overflowPunct w:val="0"/>
              <w:adjustRightInd w:val="0"/>
              <w:snapToGrid w:val="0"/>
              <w:spacing w:after="0" w:line="240" w:lineRule="auto"/>
              <w:rPr>
                <w:sz w:val="18"/>
                <w:szCs w:val="18"/>
              </w:rPr>
            </w:pPr>
            <w:r w:rsidRPr="00C60941">
              <w:rPr>
                <w:sz w:val="18"/>
                <w:szCs w:val="18"/>
              </w:rPr>
              <w:t>10.787</w:t>
            </w:r>
          </w:p>
        </w:tc>
        <w:tc>
          <w:tcPr>
            <w:tcW w:w="1511" w:type="dxa"/>
            <w:noWrap/>
            <w:vAlign w:val="center"/>
          </w:tcPr>
          <w:p w14:paraId="13C09CF0" w14:textId="77777777" w:rsidR="00BF0F78" w:rsidRPr="00C60941" w:rsidRDefault="00BF0F78">
            <w:pPr>
              <w:widowControl w:val="0"/>
              <w:overflowPunct w:val="0"/>
              <w:adjustRightInd w:val="0"/>
              <w:snapToGrid w:val="0"/>
              <w:spacing w:after="0" w:line="240" w:lineRule="auto"/>
              <w:rPr>
                <w:sz w:val="18"/>
                <w:szCs w:val="18"/>
              </w:rPr>
            </w:pPr>
          </w:p>
        </w:tc>
        <w:tc>
          <w:tcPr>
            <w:tcW w:w="1709" w:type="dxa"/>
            <w:noWrap/>
            <w:vAlign w:val="center"/>
          </w:tcPr>
          <w:p w14:paraId="5F515A55" w14:textId="77777777" w:rsidR="00BF0F78" w:rsidRPr="00C60941" w:rsidRDefault="00BF0F78">
            <w:pPr>
              <w:widowControl w:val="0"/>
              <w:overflowPunct w:val="0"/>
              <w:adjustRightInd w:val="0"/>
              <w:snapToGrid w:val="0"/>
              <w:spacing w:after="0" w:line="240" w:lineRule="auto"/>
              <w:rPr>
                <w:sz w:val="18"/>
                <w:szCs w:val="18"/>
              </w:rPr>
            </w:pPr>
          </w:p>
        </w:tc>
        <w:tc>
          <w:tcPr>
            <w:tcW w:w="1288" w:type="dxa"/>
            <w:noWrap/>
            <w:vAlign w:val="center"/>
          </w:tcPr>
          <w:p w14:paraId="4F036318" w14:textId="77777777" w:rsidR="00BF0F78" w:rsidRPr="00C60941" w:rsidRDefault="00BF0F78">
            <w:pPr>
              <w:widowControl w:val="0"/>
              <w:overflowPunct w:val="0"/>
              <w:adjustRightInd w:val="0"/>
              <w:snapToGrid w:val="0"/>
              <w:spacing w:after="0" w:line="240" w:lineRule="auto"/>
              <w:rPr>
                <w:sz w:val="18"/>
                <w:szCs w:val="18"/>
              </w:rPr>
            </w:pPr>
          </w:p>
        </w:tc>
      </w:tr>
    </w:tbl>
    <w:p w14:paraId="0AA3AE92" w14:textId="77777777" w:rsidR="00BF0F78" w:rsidRPr="009B1BB3" w:rsidRDefault="00000000">
      <w:pPr>
        <w:widowControl w:val="0"/>
        <w:overflowPunct w:val="0"/>
        <w:adjustRightInd w:val="0"/>
        <w:snapToGrid w:val="0"/>
        <w:spacing w:after="240" w:line="240" w:lineRule="auto"/>
        <w:ind w:left="2948"/>
        <w:rPr>
          <w:sz w:val="18"/>
        </w:rPr>
      </w:pPr>
      <w:r w:rsidRPr="009B1BB3">
        <w:rPr>
          <w:sz w:val="18"/>
        </w:rPr>
        <w:t>Source: authors’ estimated output.</w:t>
      </w:r>
    </w:p>
    <w:p w14:paraId="4D5A0900" w14:textId="77777777" w:rsidR="00A0248A" w:rsidRPr="00A0248A" w:rsidRDefault="00A0248A" w:rsidP="00A0248A">
      <w:pPr>
        <w:widowControl w:val="0"/>
        <w:overflowPunct w:val="0"/>
        <w:adjustRightInd w:val="0"/>
        <w:snapToGrid w:val="0"/>
        <w:spacing w:after="0" w:line="288" w:lineRule="auto"/>
        <w:ind w:left="2948" w:firstLine="442"/>
        <w:jc w:val="both"/>
        <w:rPr>
          <w:rFonts w:eastAsia="宋体"/>
          <w:szCs w:val="22"/>
        </w:rPr>
      </w:pPr>
      <w:r w:rsidRPr="00A0248A">
        <w:rPr>
          <w:rFonts w:eastAsia="宋体"/>
          <w:szCs w:val="22"/>
        </w:rPr>
        <w:t xml:space="preserve">Demonstrated in </w:t>
      </w:r>
      <w:r w:rsidRPr="00A0248A">
        <w:rPr>
          <w:rFonts w:eastAsia="宋体"/>
          <w:b/>
          <w:bCs/>
          <w:szCs w:val="22"/>
        </w:rPr>
        <w:t>Table 7</w:t>
      </w:r>
      <w:r w:rsidRPr="00A0248A">
        <w:rPr>
          <w:rFonts w:eastAsia="宋体"/>
          <w:szCs w:val="22"/>
        </w:rPr>
        <w:t xml:space="preserve"> are the effects of economic growth, external borrowing, and institutional quality on inequality. Results in the first row represent the long-term output and show that although economic growth has an adverse impact on inequality, the effect is insignificant. The result aligns with Okafor [17] but disagrees with Nguyen [19], who reported a significant adverse relationship. This result suggests that although economic growth has the potential to reduce income disparity, its effectiveness in achieving this purpose may be insignificant in the long run for the country. Consequently, the long-term effect of the Kuznets hypothesis is not significantly validated. One critical element responsible for this </w:t>
      </w:r>
      <w:proofErr w:type="spellStart"/>
      <w:r w:rsidRPr="00A0248A">
        <w:rPr>
          <w:rFonts w:eastAsia="宋体"/>
          <w:szCs w:val="22"/>
        </w:rPr>
        <w:t>behaviour</w:t>
      </w:r>
      <w:proofErr w:type="spellEnd"/>
      <w:r w:rsidRPr="00A0248A">
        <w:rPr>
          <w:rFonts w:eastAsia="宋体"/>
          <w:szCs w:val="22"/>
        </w:rPr>
        <w:t xml:space="preserve"> is the inefficiency in public policy to support the growing migration of </w:t>
      </w:r>
      <w:proofErr w:type="spellStart"/>
      <w:r w:rsidRPr="00A0248A">
        <w:rPr>
          <w:rFonts w:eastAsia="宋体"/>
          <w:szCs w:val="22"/>
        </w:rPr>
        <w:t>labour</w:t>
      </w:r>
      <w:proofErr w:type="spellEnd"/>
      <w:r w:rsidRPr="00A0248A">
        <w:rPr>
          <w:rFonts w:eastAsia="宋体"/>
          <w:szCs w:val="22"/>
        </w:rPr>
        <w:t xml:space="preserve"> from primary to advanced sectors like manufacturing, information communication technology, and services in the country. It thus becomes difficult for these sectors to adequately absorb the growing productive </w:t>
      </w:r>
      <w:proofErr w:type="spellStart"/>
      <w:r w:rsidRPr="00A0248A">
        <w:rPr>
          <w:rFonts w:eastAsia="宋体"/>
          <w:szCs w:val="22"/>
        </w:rPr>
        <w:t>labour</w:t>
      </w:r>
      <w:proofErr w:type="spellEnd"/>
      <w:r w:rsidRPr="00A0248A">
        <w:rPr>
          <w:rFonts w:eastAsia="宋体"/>
          <w:szCs w:val="22"/>
        </w:rPr>
        <w:t xml:space="preserve"> force in the long term. In contrast, external debt demonstrates a significant positive impact on inequality levels, indicating that higher sovereign borrowings have significantly translated to a higher divide between the rich and the poor instead of bridging the gap in the country. This finding supports Obiero </w:t>
      </w:r>
      <w:r w:rsidRPr="00A0248A">
        <w:rPr>
          <w:rFonts w:eastAsia="宋体"/>
          <w:szCs w:val="22"/>
        </w:rPr>
        <w:lastRenderedPageBreak/>
        <w:t xml:space="preserve">and Topuz [39] and Andoh et al. [34] but contradicts studies including </w:t>
      </w:r>
      <w:proofErr w:type="spellStart"/>
      <w:r w:rsidRPr="00A0248A">
        <w:rPr>
          <w:rFonts w:eastAsia="宋体"/>
          <w:szCs w:val="22"/>
        </w:rPr>
        <w:t>Biglaiser</w:t>
      </w:r>
      <w:proofErr w:type="spellEnd"/>
      <w:r w:rsidRPr="00A0248A">
        <w:rPr>
          <w:rFonts w:eastAsia="宋体"/>
          <w:szCs w:val="22"/>
        </w:rPr>
        <w:t xml:space="preserve"> and McGauvran [35], Nguyen [19], and Nguyen [38]. Hence, the implication is that foreign borrowing has been used to support </w:t>
      </w:r>
      <w:proofErr w:type="spellStart"/>
      <w:r w:rsidRPr="00A0248A">
        <w:rPr>
          <w:rFonts w:eastAsia="宋体"/>
          <w:szCs w:val="22"/>
        </w:rPr>
        <w:t>programmes</w:t>
      </w:r>
      <w:proofErr w:type="spellEnd"/>
      <w:r w:rsidRPr="00A0248A">
        <w:rPr>
          <w:rFonts w:eastAsia="宋体"/>
          <w:szCs w:val="22"/>
        </w:rPr>
        <w:t xml:space="preserve"> that further widen instead of bridging the inequality gap in the long term. However, a higher level of government effectiveness is shown to have a substantial negative impact on inequality in the country. Thus, indicating that as the level of government effectiveness increases, inequality declines. These outcomes imply the relevance of the New-Keynesian premise for Nigeria. This outcome agrees with the study by Nguyen [19] that institutional quality significantly diminishes income inequality.</w:t>
      </w:r>
    </w:p>
    <w:p w14:paraId="12181CF8" w14:textId="5FFD8DB2" w:rsidR="00A0248A" w:rsidRPr="00A0248A" w:rsidRDefault="00A0248A" w:rsidP="00A0248A">
      <w:pPr>
        <w:widowControl w:val="0"/>
        <w:overflowPunct w:val="0"/>
        <w:adjustRightInd w:val="0"/>
        <w:snapToGrid w:val="0"/>
        <w:spacing w:after="0" w:line="288" w:lineRule="auto"/>
        <w:ind w:left="2948" w:firstLine="442"/>
        <w:jc w:val="both"/>
        <w:rPr>
          <w:rFonts w:eastAsia="宋体" w:hint="eastAsia"/>
          <w:szCs w:val="22"/>
          <w:lang w:eastAsia="zh-CN"/>
        </w:rPr>
      </w:pPr>
      <w:r w:rsidRPr="00A0248A">
        <w:rPr>
          <w:rFonts w:eastAsia="宋体"/>
          <w:szCs w:val="22"/>
        </w:rPr>
        <w:t xml:space="preserve">In the second panel, the short-run results are captured, and the lagged inequality has a significant positive effect on current inequality levels. This result implies that previous levels of inequality further aggravate the current level of inequality in the country. Similarly, economic growth was revealed to have a significant enhancing effect on income disparity in the short run. The result indicates that the growth of the economy can significantly and further broaden inequality in the short run. This result aligns with the initial stage of the Kuznets premise that economic growth can promote inequality. Currently, the Nigerian economy is </w:t>
      </w:r>
      <w:proofErr w:type="spellStart"/>
      <w:r w:rsidRPr="00A0248A">
        <w:rPr>
          <w:rFonts w:eastAsia="宋体"/>
          <w:szCs w:val="22"/>
        </w:rPr>
        <w:t>characterised</w:t>
      </w:r>
      <w:proofErr w:type="spellEnd"/>
      <w:r w:rsidRPr="00A0248A">
        <w:rPr>
          <w:rFonts w:eastAsia="宋体"/>
          <w:szCs w:val="22"/>
        </w:rPr>
        <w:t xml:space="preserve"> by the movement of </w:t>
      </w:r>
      <w:proofErr w:type="spellStart"/>
      <w:r w:rsidRPr="00A0248A">
        <w:rPr>
          <w:rFonts w:eastAsia="宋体"/>
          <w:szCs w:val="22"/>
        </w:rPr>
        <w:t>labour</w:t>
      </w:r>
      <w:proofErr w:type="spellEnd"/>
      <w:r w:rsidRPr="00A0248A">
        <w:rPr>
          <w:rFonts w:eastAsia="宋体"/>
          <w:szCs w:val="22"/>
        </w:rPr>
        <w:t xml:space="preserve"> from the agricultural to the industrial sector, the development of the density of talents in technologically sophisticated sectors, variation in the urban-informal sector employment ratio, and upgrading from a financially simple or less complex environment to an advanced financial system.</w:t>
      </w:r>
      <w:r w:rsidR="00142AAD">
        <w:rPr>
          <w:rFonts w:eastAsia="宋体" w:hint="eastAsia"/>
          <w:szCs w:val="22"/>
          <w:lang w:eastAsia="zh-CN"/>
        </w:rPr>
        <w:t xml:space="preserve"> All of t</w:t>
      </w:r>
      <w:r w:rsidR="00142AAD" w:rsidRPr="00142AAD">
        <w:rPr>
          <w:rFonts w:eastAsia="宋体"/>
          <w:szCs w:val="22"/>
          <w:lang w:eastAsia="zh-CN"/>
        </w:rPr>
        <w:t xml:space="preserve">hese elements can create inequality given the disparity in income attached to </w:t>
      </w:r>
      <w:proofErr w:type="spellStart"/>
      <w:r w:rsidR="00142AAD" w:rsidRPr="00142AAD">
        <w:rPr>
          <w:rFonts w:eastAsia="宋体"/>
          <w:szCs w:val="22"/>
          <w:lang w:eastAsia="zh-CN"/>
        </w:rPr>
        <w:t>labo</w:t>
      </w:r>
      <w:r w:rsidR="00142AAD">
        <w:rPr>
          <w:rFonts w:eastAsia="宋体" w:hint="eastAsia"/>
          <w:szCs w:val="22"/>
          <w:lang w:eastAsia="zh-CN"/>
        </w:rPr>
        <w:t>u</w:t>
      </w:r>
      <w:r w:rsidR="00142AAD" w:rsidRPr="00142AAD">
        <w:rPr>
          <w:rFonts w:eastAsia="宋体"/>
          <w:szCs w:val="22"/>
          <w:lang w:eastAsia="zh-CN"/>
        </w:rPr>
        <w:t>r</w:t>
      </w:r>
      <w:proofErr w:type="spellEnd"/>
      <w:r w:rsidR="00142AAD" w:rsidRPr="00142AAD">
        <w:rPr>
          <w:rFonts w:eastAsia="宋体"/>
          <w:szCs w:val="22"/>
          <w:lang w:eastAsia="zh-CN"/>
        </w:rPr>
        <w:t xml:space="preserve"> transfers in the economy.</w:t>
      </w:r>
    </w:p>
    <w:p w14:paraId="26073DDE" w14:textId="693E1C87" w:rsidR="00BF0F78" w:rsidRPr="00A0248A" w:rsidRDefault="00A0248A" w:rsidP="00A0248A">
      <w:pPr>
        <w:widowControl w:val="0"/>
        <w:overflowPunct w:val="0"/>
        <w:adjustRightInd w:val="0"/>
        <w:snapToGrid w:val="0"/>
        <w:spacing w:after="0" w:line="288" w:lineRule="auto"/>
        <w:ind w:left="2948" w:firstLine="442"/>
        <w:jc w:val="both"/>
        <w:rPr>
          <w:rFonts w:eastAsia="宋体" w:hint="eastAsia"/>
          <w:szCs w:val="22"/>
          <w:lang w:eastAsia="zh-CN"/>
        </w:rPr>
      </w:pPr>
      <w:r w:rsidRPr="00A0248A">
        <w:rPr>
          <w:rFonts w:eastAsia="宋体"/>
          <w:szCs w:val="22"/>
        </w:rPr>
        <w:t>Unlike the long-run output, current sovereign debt has an insignificant negative effect on inequality. However, its lagged value has a substantial and negative effect on inequality. Thus, the implication of this outcome is that even though external debt takes a long while to significantly impact inequality, previous debt levels have a reducing effect on inequality in the short run for the country. The speed of adjustment parameter is rightly signed and significant. Its value suggests that it takes less than a year, in the event of short-run disequilibrium, for the long-run equilibrium path to be restored.</w:t>
      </w:r>
    </w:p>
    <w:p w14:paraId="7EDD289D" w14:textId="77777777" w:rsidR="00BF0F78" w:rsidRPr="009B1BB3" w:rsidRDefault="00000000">
      <w:pPr>
        <w:widowControl w:val="0"/>
        <w:overflowPunct w:val="0"/>
        <w:adjustRightInd w:val="0"/>
        <w:snapToGrid w:val="0"/>
        <w:spacing w:before="240" w:after="60" w:line="288" w:lineRule="auto"/>
        <w:ind w:left="2948"/>
      </w:pPr>
      <w:r w:rsidRPr="009B1BB3">
        <w:rPr>
          <w:b/>
        </w:rPr>
        <w:t>Table 7.</w:t>
      </w:r>
      <w:r w:rsidRPr="009B1BB3">
        <w:t xml:space="preserve"> Effects of economic growth, external debt, and institutional quality on inequality.</w:t>
      </w:r>
    </w:p>
    <w:tbl>
      <w:tblPr>
        <w:tblW w:w="7518" w:type="dxa"/>
        <w:tblInd w:w="2948" w:type="dxa"/>
        <w:tblBorders>
          <w:top w:val="single" w:sz="8" w:space="0" w:color="auto"/>
          <w:bottom w:val="single" w:sz="8" w:space="0" w:color="auto"/>
        </w:tblBorders>
        <w:tblLayout w:type="fixed"/>
        <w:tblCellMar>
          <w:top w:w="45" w:type="dxa"/>
          <w:left w:w="45" w:type="dxa"/>
          <w:bottom w:w="45" w:type="dxa"/>
          <w:right w:w="45" w:type="dxa"/>
        </w:tblCellMar>
        <w:tblLook w:val="04A0" w:firstRow="1" w:lastRow="0" w:firstColumn="1" w:lastColumn="0" w:noHBand="0" w:noVBand="1"/>
      </w:tblPr>
      <w:tblGrid>
        <w:gridCol w:w="1504"/>
        <w:gridCol w:w="7"/>
        <w:gridCol w:w="1410"/>
        <w:gridCol w:w="1559"/>
        <w:gridCol w:w="1752"/>
        <w:gridCol w:w="1286"/>
      </w:tblGrid>
      <w:tr w:rsidR="009966AD" w:rsidRPr="00B50598" w14:paraId="1152028F" w14:textId="77777777" w:rsidTr="00C21892">
        <w:trPr>
          <w:cantSplit/>
        </w:trPr>
        <w:tc>
          <w:tcPr>
            <w:tcW w:w="7518" w:type="dxa"/>
            <w:gridSpan w:val="6"/>
            <w:tcBorders>
              <w:bottom w:val="single" w:sz="4" w:space="0" w:color="auto"/>
            </w:tcBorders>
            <w:noWrap/>
            <w:tcMar>
              <w:top w:w="45" w:type="dxa"/>
              <w:bottom w:w="45" w:type="dxa"/>
            </w:tcMar>
            <w:vAlign w:val="center"/>
          </w:tcPr>
          <w:p w14:paraId="26B1E2AE" w14:textId="6F2B8FFF" w:rsidR="00BF0F78" w:rsidRPr="00B50598" w:rsidRDefault="00000000">
            <w:pPr>
              <w:widowControl w:val="0"/>
              <w:overflowPunct w:val="0"/>
              <w:adjustRightInd w:val="0"/>
              <w:snapToGrid w:val="0"/>
              <w:spacing w:after="0" w:line="240" w:lineRule="auto"/>
              <w:rPr>
                <w:b/>
                <w:bCs/>
                <w:sz w:val="18"/>
                <w:szCs w:val="18"/>
              </w:rPr>
            </w:pPr>
            <w:r w:rsidRPr="00B50598">
              <w:rPr>
                <w:b/>
                <w:bCs/>
                <w:sz w:val="18"/>
                <w:szCs w:val="18"/>
              </w:rPr>
              <w:t xml:space="preserve">Long run </w:t>
            </w:r>
            <w:r w:rsidR="003E6DFD">
              <w:rPr>
                <w:rFonts w:hint="eastAsia"/>
                <w:b/>
                <w:bCs/>
                <w:sz w:val="18"/>
                <w:szCs w:val="18"/>
                <w:lang w:eastAsia="zh-CN"/>
              </w:rPr>
              <w:t>o</w:t>
            </w:r>
            <w:r w:rsidRPr="00B50598">
              <w:rPr>
                <w:b/>
                <w:bCs/>
                <w:sz w:val="18"/>
                <w:szCs w:val="18"/>
              </w:rPr>
              <w:t xml:space="preserve">utput: </w:t>
            </w:r>
            <w:r w:rsidR="00C21892">
              <w:rPr>
                <w:rFonts w:hint="eastAsia"/>
                <w:b/>
                <w:bCs/>
                <w:sz w:val="18"/>
                <w:szCs w:val="18"/>
                <w:lang w:eastAsia="zh-CN"/>
              </w:rPr>
              <w:t>D</w:t>
            </w:r>
            <w:r w:rsidRPr="00B50598">
              <w:rPr>
                <w:b/>
                <w:bCs/>
                <w:sz w:val="18"/>
                <w:szCs w:val="18"/>
              </w:rPr>
              <w:t>ependent variable (INQ)</w:t>
            </w:r>
          </w:p>
        </w:tc>
      </w:tr>
      <w:tr w:rsidR="009966AD" w:rsidRPr="00B50598" w14:paraId="2F743F40" w14:textId="77777777" w:rsidTr="00C21892">
        <w:trPr>
          <w:cantSplit/>
        </w:trPr>
        <w:tc>
          <w:tcPr>
            <w:tcW w:w="1511" w:type="dxa"/>
            <w:gridSpan w:val="2"/>
            <w:tcBorders>
              <w:top w:val="single" w:sz="4" w:space="0" w:color="auto"/>
              <w:bottom w:val="single" w:sz="4" w:space="0" w:color="auto"/>
            </w:tcBorders>
            <w:noWrap/>
            <w:tcMar>
              <w:top w:w="45" w:type="dxa"/>
              <w:bottom w:w="45" w:type="dxa"/>
            </w:tcMar>
            <w:vAlign w:val="center"/>
          </w:tcPr>
          <w:p w14:paraId="1238D728" w14:textId="77777777" w:rsidR="00BF0F78" w:rsidRPr="00B50598" w:rsidRDefault="00000000">
            <w:pPr>
              <w:widowControl w:val="0"/>
              <w:overflowPunct w:val="0"/>
              <w:adjustRightInd w:val="0"/>
              <w:snapToGrid w:val="0"/>
              <w:spacing w:after="0" w:line="240" w:lineRule="auto"/>
              <w:rPr>
                <w:b/>
                <w:bCs/>
                <w:sz w:val="18"/>
                <w:szCs w:val="18"/>
              </w:rPr>
            </w:pPr>
            <w:r w:rsidRPr="00B50598">
              <w:rPr>
                <w:b/>
                <w:bCs/>
                <w:sz w:val="18"/>
                <w:szCs w:val="18"/>
              </w:rPr>
              <w:t>Variables</w:t>
            </w:r>
          </w:p>
        </w:tc>
        <w:tc>
          <w:tcPr>
            <w:tcW w:w="1410" w:type="dxa"/>
            <w:tcBorders>
              <w:top w:val="single" w:sz="4" w:space="0" w:color="auto"/>
              <w:bottom w:val="single" w:sz="4" w:space="0" w:color="auto"/>
            </w:tcBorders>
            <w:noWrap/>
            <w:tcMar>
              <w:top w:w="45" w:type="dxa"/>
              <w:bottom w:w="45" w:type="dxa"/>
            </w:tcMar>
            <w:vAlign w:val="center"/>
          </w:tcPr>
          <w:p w14:paraId="29A2DDA5" w14:textId="77777777" w:rsidR="00BF0F78" w:rsidRPr="00B50598" w:rsidRDefault="00000000">
            <w:pPr>
              <w:widowControl w:val="0"/>
              <w:overflowPunct w:val="0"/>
              <w:adjustRightInd w:val="0"/>
              <w:snapToGrid w:val="0"/>
              <w:spacing w:after="0" w:line="240" w:lineRule="auto"/>
              <w:rPr>
                <w:b/>
                <w:bCs/>
                <w:sz w:val="18"/>
                <w:szCs w:val="18"/>
              </w:rPr>
            </w:pPr>
            <w:r w:rsidRPr="00B50598">
              <w:rPr>
                <w:b/>
                <w:bCs/>
                <w:sz w:val="18"/>
                <w:szCs w:val="18"/>
              </w:rPr>
              <w:t>Coefficient</w:t>
            </w:r>
          </w:p>
        </w:tc>
        <w:tc>
          <w:tcPr>
            <w:tcW w:w="1559" w:type="dxa"/>
            <w:tcBorders>
              <w:top w:val="single" w:sz="4" w:space="0" w:color="auto"/>
              <w:bottom w:val="single" w:sz="4" w:space="0" w:color="auto"/>
            </w:tcBorders>
            <w:noWrap/>
            <w:tcMar>
              <w:top w:w="45" w:type="dxa"/>
              <w:bottom w:w="45" w:type="dxa"/>
            </w:tcMar>
            <w:vAlign w:val="center"/>
          </w:tcPr>
          <w:p w14:paraId="681DBAB0" w14:textId="77777777" w:rsidR="00BF0F78" w:rsidRPr="00B50598" w:rsidRDefault="00000000">
            <w:pPr>
              <w:widowControl w:val="0"/>
              <w:overflowPunct w:val="0"/>
              <w:adjustRightInd w:val="0"/>
              <w:snapToGrid w:val="0"/>
              <w:spacing w:after="0" w:line="240" w:lineRule="auto"/>
              <w:rPr>
                <w:b/>
                <w:bCs/>
                <w:sz w:val="18"/>
                <w:szCs w:val="18"/>
              </w:rPr>
            </w:pPr>
            <w:r w:rsidRPr="00B50598">
              <w:rPr>
                <w:b/>
                <w:bCs/>
                <w:sz w:val="18"/>
                <w:szCs w:val="18"/>
              </w:rPr>
              <w:t>Std. Error</w:t>
            </w:r>
          </w:p>
        </w:tc>
        <w:tc>
          <w:tcPr>
            <w:tcW w:w="1752" w:type="dxa"/>
            <w:tcBorders>
              <w:top w:val="single" w:sz="4" w:space="0" w:color="auto"/>
              <w:bottom w:val="single" w:sz="4" w:space="0" w:color="auto"/>
            </w:tcBorders>
            <w:noWrap/>
            <w:tcMar>
              <w:top w:w="45" w:type="dxa"/>
              <w:bottom w:w="45" w:type="dxa"/>
            </w:tcMar>
            <w:vAlign w:val="center"/>
          </w:tcPr>
          <w:p w14:paraId="578FD12C" w14:textId="77777777" w:rsidR="00BF0F78" w:rsidRPr="00B50598" w:rsidRDefault="00000000">
            <w:pPr>
              <w:widowControl w:val="0"/>
              <w:overflowPunct w:val="0"/>
              <w:adjustRightInd w:val="0"/>
              <w:snapToGrid w:val="0"/>
              <w:spacing w:after="0" w:line="240" w:lineRule="auto"/>
              <w:rPr>
                <w:b/>
                <w:bCs/>
                <w:sz w:val="18"/>
                <w:szCs w:val="18"/>
              </w:rPr>
            </w:pPr>
            <w:r w:rsidRPr="00B50598">
              <w:rPr>
                <w:b/>
                <w:bCs/>
                <w:i/>
                <w:iCs/>
                <w:sz w:val="18"/>
                <w:szCs w:val="18"/>
              </w:rPr>
              <w:t>t</w:t>
            </w:r>
            <w:r w:rsidRPr="00B50598">
              <w:rPr>
                <w:b/>
                <w:bCs/>
                <w:sz w:val="18"/>
                <w:szCs w:val="18"/>
              </w:rPr>
              <w:t>-statistics</w:t>
            </w:r>
          </w:p>
        </w:tc>
        <w:tc>
          <w:tcPr>
            <w:tcW w:w="1286" w:type="dxa"/>
            <w:tcBorders>
              <w:top w:val="single" w:sz="4" w:space="0" w:color="auto"/>
              <w:bottom w:val="single" w:sz="4" w:space="0" w:color="auto"/>
            </w:tcBorders>
            <w:noWrap/>
            <w:tcMar>
              <w:top w:w="45" w:type="dxa"/>
              <w:bottom w:w="45" w:type="dxa"/>
            </w:tcMar>
            <w:vAlign w:val="center"/>
          </w:tcPr>
          <w:p w14:paraId="435859A7" w14:textId="77777777" w:rsidR="00BF0F78" w:rsidRPr="00B50598" w:rsidRDefault="00000000">
            <w:pPr>
              <w:widowControl w:val="0"/>
              <w:overflowPunct w:val="0"/>
              <w:adjustRightInd w:val="0"/>
              <w:snapToGrid w:val="0"/>
              <w:spacing w:after="0" w:line="240" w:lineRule="auto"/>
              <w:rPr>
                <w:b/>
                <w:bCs/>
                <w:sz w:val="18"/>
                <w:szCs w:val="18"/>
              </w:rPr>
            </w:pPr>
            <w:r w:rsidRPr="00B50598">
              <w:rPr>
                <w:b/>
                <w:bCs/>
                <w:sz w:val="18"/>
                <w:szCs w:val="18"/>
              </w:rPr>
              <w:t>Prob.</w:t>
            </w:r>
          </w:p>
        </w:tc>
      </w:tr>
      <w:tr w:rsidR="009966AD" w:rsidRPr="00B50598" w14:paraId="1EBC55E5" w14:textId="77777777" w:rsidTr="00C21892">
        <w:trPr>
          <w:cantSplit/>
        </w:trPr>
        <w:tc>
          <w:tcPr>
            <w:tcW w:w="1511" w:type="dxa"/>
            <w:gridSpan w:val="2"/>
            <w:tcBorders>
              <w:top w:val="single" w:sz="4" w:space="0" w:color="auto"/>
            </w:tcBorders>
            <w:noWrap/>
            <w:tcMar>
              <w:top w:w="45" w:type="dxa"/>
              <w:bottom w:w="45" w:type="dxa"/>
            </w:tcMar>
            <w:vAlign w:val="center"/>
          </w:tcPr>
          <w:p w14:paraId="19AB3D17" w14:textId="77777777" w:rsidR="00BF0F78" w:rsidRPr="00B50598" w:rsidRDefault="00000000">
            <w:pPr>
              <w:widowControl w:val="0"/>
              <w:overflowPunct w:val="0"/>
              <w:adjustRightInd w:val="0"/>
              <w:snapToGrid w:val="0"/>
              <w:spacing w:after="0" w:line="240" w:lineRule="auto"/>
              <w:rPr>
                <w:iCs/>
                <w:sz w:val="18"/>
                <w:szCs w:val="18"/>
              </w:rPr>
            </w:pPr>
            <m:oMathPara>
              <m:oMathParaPr>
                <m:jc m:val="left"/>
              </m:oMathParaPr>
              <m:oMath>
                <m:r>
                  <m:rPr>
                    <m:sty m:val="p"/>
                  </m:rPr>
                  <w:rPr>
                    <w:rFonts w:ascii="Cambria Math" w:hAnsi="Cambria Math"/>
                    <w:sz w:val="18"/>
                    <w:szCs w:val="18"/>
                  </w:rPr>
                  <m:t>GDP</m:t>
                </m:r>
              </m:oMath>
            </m:oMathPara>
          </w:p>
        </w:tc>
        <w:tc>
          <w:tcPr>
            <w:tcW w:w="1410" w:type="dxa"/>
            <w:tcBorders>
              <w:top w:val="single" w:sz="4" w:space="0" w:color="auto"/>
            </w:tcBorders>
            <w:noWrap/>
            <w:tcMar>
              <w:top w:w="45" w:type="dxa"/>
              <w:bottom w:w="45" w:type="dxa"/>
            </w:tcMar>
            <w:vAlign w:val="center"/>
          </w:tcPr>
          <w:p w14:paraId="59534FBB" w14:textId="77777777" w:rsidR="00BF0F78" w:rsidRPr="00B50598" w:rsidRDefault="00000000">
            <w:pPr>
              <w:widowControl w:val="0"/>
              <w:overflowPunct w:val="0"/>
              <w:adjustRightInd w:val="0"/>
              <w:snapToGrid w:val="0"/>
              <w:spacing w:after="0" w:line="240" w:lineRule="auto"/>
              <w:rPr>
                <w:sz w:val="18"/>
                <w:szCs w:val="18"/>
              </w:rPr>
            </w:pPr>
            <w:r w:rsidRPr="00B50598">
              <w:rPr>
                <w:sz w:val="18"/>
                <w:szCs w:val="18"/>
              </w:rPr>
              <w:t>−0.085</w:t>
            </w:r>
          </w:p>
        </w:tc>
        <w:tc>
          <w:tcPr>
            <w:tcW w:w="1559" w:type="dxa"/>
            <w:tcBorders>
              <w:top w:val="single" w:sz="4" w:space="0" w:color="auto"/>
            </w:tcBorders>
            <w:noWrap/>
            <w:tcMar>
              <w:top w:w="45" w:type="dxa"/>
              <w:bottom w:w="45" w:type="dxa"/>
            </w:tcMar>
            <w:vAlign w:val="center"/>
          </w:tcPr>
          <w:p w14:paraId="6C26917F" w14:textId="77777777" w:rsidR="00BF0F78" w:rsidRPr="00B50598" w:rsidRDefault="00000000">
            <w:pPr>
              <w:widowControl w:val="0"/>
              <w:overflowPunct w:val="0"/>
              <w:adjustRightInd w:val="0"/>
              <w:snapToGrid w:val="0"/>
              <w:spacing w:after="0" w:line="240" w:lineRule="auto"/>
              <w:rPr>
                <w:sz w:val="18"/>
                <w:szCs w:val="18"/>
              </w:rPr>
            </w:pPr>
            <w:r w:rsidRPr="00B50598">
              <w:rPr>
                <w:sz w:val="18"/>
                <w:szCs w:val="18"/>
              </w:rPr>
              <w:t>0.150</w:t>
            </w:r>
          </w:p>
        </w:tc>
        <w:tc>
          <w:tcPr>
            <w:tcW w:w="1752" w:type="dxa"/>
            <w:tcBorders>
              <w:top w:val="single" w:sz="4" w:space="0" w:color="auto"/>
            </w:tcBorders>
            <w:noWrap/>
            <w:tcMar>
              <w:top w:w="45" w:type="dxa"/>
              <w:bottom w:w="45" w:type="dxa"/>
            </w:tcMar>
            <w:vAlign w:val="center"/>
          </w:tcPr>
          <w:p w14:paraId="1EA8A9CD" w14:textId="77777777" w:rsidR="00BF0F78" w:rsidRPr="00B50598" w:rsidRDefault="00000000">
            <w:pPr>
              <w:widowControl w:val="0"/>
              <w:overflowPunct w:val="0"/>
              <w:adjustRightInd w:val="0"/>
              <w:snapToGrid w:val="0"/>
              <w:spacing w:after="0" w:line="240" w:lineRule="auto"/>
              <w:rPr>
                <w:sz w:val="18"/>
                <w:szCs w:val="18"/>
              </w:rPr>
            </w:pPr>
            <w:r w:rsidRPr="00B50598">
              <w:rPr>
                <w:sz w:val="18"/>
                <w:szCs w:val="18"/>
              </w:rPr>
              <w:t>−0.568</w:t>
            </w:r>
          </w:p>
        </w:tc>
        <w:tc>
          <w:tcPr>
            <w:tcW w:w="1286" w:type="dxa"/>
            <w:tcBorders>
              <w:top w:val="single" w:sz="4" w:space="0" w:color="auto"/>
            </w:tcBorders>
            <w:noWrap/>
            <w:tcMar>
              <w:top w:w="45" w:type="dxa"/>
              <w:bottom w:w="45" w:type="dxa"/>
            </w:tcMar>
            <w:vAlign w:val="center"/>
          </w:tcPr>
          <w:p w14:paraId="4786F045" w14:textId="77777777" w:rsidR="00BF0F78" w:rsidRPr="00B50598" w:rsidRDefault="00000000">
            <w:pPr>
              <w:widowControl w:val="0"/>
              <w:overflowPunct w:val="0"/>
              <w:adjustRightInd w:val="0"/>
              <w:snapToGrid w:val="0"/>
              <w:spacing w:after="0" w:line="240" w:lineRule="auto"/>
              <w:rPr>
                <w:sz w:val="18"/>
                <w:szCs w:val="18"/>
              </w:rPr>
            </w:pPr>
            <w:r w:rsidRPr="00B50598">
              <w:rPr>
                <w:sz w:val="18"/>
                <w:szCs w:val="18"/>
              </w:rPr>
              <w:t>0.576</w:t>
            </w:r>
          </w:p>
        </w:tc>
      </w:tr>
      <w:tr w:rsidR="009966AD" w:rsidRPr="00B50598" w14:paraId="4692A832" w14:textId="77777777" w:rsidTr="00C21892">
        <w:trPr>
          <w:cantSplit/>
        </w:trPr>
        <w:tc>
          <w:tcPr>
            <w:tcW w:w="1511" w:type="dxa"/>
            <w:gridSpan w:val="2"/>
            <w:noWrap/>
            <w:tcMar>
              <w:top w:w="45" w:type="dxa"/>
              <w:bottom w:w="45" w:type="dxa"/>
            </w:tcMar>
            <w:vAlign w:val="center"/>
          </w:tcPr>
          <w:p w14:paraId="3A37E8F7" w14:textId="77777777" w:rsidR="00BF0F78" w:rsidRPr="00B50598" w:rsidRDefault="00000000">
            <w:pPr>
              <w:widowControl w:val="0"/>
              <w:overflowPunct w:val="0"/>
              <w:adjustRightInd w:val="0"/>
              <w:snapToGrid w:val="0"/>
              <w:spacing w:after="0" w:line="240" w:lineRule="auto"/>
              <w:rPr>
                <w:iCs/>
                <w:sz w:val="18"/>
                <w:szCs w:val="18"/>
              </w:rPr>
            </w:pPr>
            <m:oMathPara>
              <m:oMathParaPr>
                <m:jc m:val="left"/>
              </m:oMathParaPr>
              <m:oMath>
                <m:r>
                  <m:rPr>
                    <m:sty m:val="p"/>
                  </m:rPr>
                  <w:rPr>
                    <w:rFonts w:ascii="Cambria Math" w:hAnsi="Cambria Math"/>
                    <w:sz w:val="18"/>
                    <w:szCs w:val="18"/>
                  </w:rPr>
                  <m:t>EDGDP</m:t>
                </m:r>
              </m:oMath>
            </m:oMathPara>
          </w:p>
        </w:tc>
        <w:tc>
          <w:tcPr>
            <w:tcW w:w="1410" w:type="dxa"/>
            <w:noWrap/>
            <w:tcMar>
              <w:top w:w="45" w:type="dxa"/>
              <w:bottom w:w="45" w:type="dxa"/>
            </w:tcMar>
            <w:vAlign w:val="center"/>
          </w:tcPr>
          <w:p w14:paraId="0DF11D1B" w14:textId="77777777" w:rsidR="00BF0F78" w:rsidRPr="00B50598" w:rsidRDefault="00000000">
            <w:pPr>
              <w:widowControl w:val="0"/>
              <w:overflowPunct w:val="0"/>
              <w:adjustRightInd w:val="0"/>
              <w:snapToGrid w:val="0"/>
              <w:spacing w:after="0" w:line="240" w:lineRule="auto"/>
              <w:rPr>
                <w:sz w:val="18"/>
                <w:szCs w:val="18"/>
              </w:rPr>
            </w:pPr>
            <w:r w:rsidRPr="00B50598">
              <w:rPr>
                <w:sz w:val="18"/>
                <w:szCs w:val="18"/>
              </w:rPr>
              <w:t>0.057</w:t>
            </w:r>
          </w:p>
        </w:tc>
        <w:tc>
          <w:tcPr>
            <w:tcW w:w="1559" w:type="dxa"/>
            <w:noWrap/>
            <w:tcMar>
              <w:top w:w="45" w:type="dxa"/>
              <w:bottom w:w="45" w:type="dxa"/>
            </w:tcMar>
            <w:vAlign w:val="center"/>
          </w:tcPr>
          <w:p w14:paraId="75F65252" w14:textId="77777777" w:rsidR="00BF0F78" w:rsidRPr="00B50598" w:rsidRDefault="00000000">
            <w:pPr>
              <w:widowControl w:val="0"/>
              <w:overflowPunct w:val="0"/>
              <w:adjustRightInd w:val="0"/>
              <w:snapToGrid w:val="0"/>
              <w:spacing w:after="0" w:line="240" w:lineRule="auto"/>
              <w:rPr>
                <w:sz w:val="18"/>
                <w:szCs w:val="18"/>
              </w:rPr>
            </w:pPr>
            <w:r w:rsidRPr="00B50598">
              <w:rPr>
                <w:sz w:val="18"/>
                <w:szCs w:val="18"/>
              </w:rPr>
              <w:t>0.022</w:t>
            </w:r>
          </w:p>
        </w:tc>
        <w:tc>
          <w:tcPr>
            <w:tcW w:w="1752" w:type="dxa"/>
            <w:noWrap/>
            <w:tcMar>
              <w:top w:w="45" w:type="dxa"/>
              <w:bottom w:w="45" w:type="dxa"/>
            </w:tcMar>
            <w:vAlign w:val="center"/>
          </w:tcPr>
          <w:p w14:paraId="05C118DE" w14:textId="77777777" w:rsidR="00BF0F78" w:rsidRPr="00B50598" w:rsidRDefault="00000000">
            <w:pPr>
              <w:widowControl w:val="0"/>
              <w:overflowPunct w:val="0"/>
              <w:adjustRightInd w:val="0"/>
              <w:snapToGrid w:val="0"/>
              <w:spacing w:after="0" w:line="240" w:lineRule="auto"/>
              <w:rPr>
                <w:sz w:val="18"/>
                <w:szCs w:val="18"/>
              </w:rPr>
            </w:pPr>
            <w:r w:rsidRPr="00B50598">
              <w:rPr>
                <w:sz w:val="18"/>
                <w:szCs w:val="18"/>
              </w:rPr>
              <w:t>2.640</w:t>
            </w:r>
          </w:p>
        </w:tc>
        <w:tc>
          <w:tcPr>
            <w:tcW w:w="1286" w:type="dxa"/>
            <w:noWrap/>
            <w:tcMar>
              <w:top w:w="45" w:type="dxa"/>
              <w:bottom w:w="45" w:type="dxa"/>
            </w:tcMar>
            <w:vAlign w:val="center"/>
          </w:tcPr>
          <w:p w14:paraId="5BE3A08A" w14:textId="77777777" w:rsidR="00BF0F78" w:rsidRPr="00B50598" w:rsidRDefault="00000000">
            <w:pPr>
              <w:widowControl w:val="0"/>
              <w:overflowPunct w:val="0"/>
              <w:adjustRightInd w:val="0"/>
              <w:snapToGrid w:val="0"/>
              <w:spacing w:after="0" w:line="240" w:lineRule="auto"/>
              <w:rPr>
                <w:sz w:val="18"/>
                <w:szCs w:val="18"/>
              </w:rPr>
            </w:pPr>
            <w:r w:rsidRPr="00B50598">
              <w:rPr>
                <w:sz w:val="18"/>
                <w:szCs w:val="18"/>
              </w:rPr>
              <w:t>0.015***</w:t>
            </w:r>
          </w:p>
        </w:tc>
      </w:tr>
      <w:tr w:rsidR="009966AD" w:rsidRPr="00B50598" w14:paraId="18AEDC55" w14:textId="77777777" w:rsidTr="00C21892">
        <w:trPr>
          <w:cantSplit/>
        </w:trPr>
        <w:tc>
          <w:tcPr>
            <w:tcW w:w="1511" w:type="dxa"/>
            <w:gridSpan w:val="2"/>
            <w:noWrap/>
            <w:tcMar>
              <w:top w:w="45" w:type="dxa"/>
              <w:bottom w:w="45" w:type="dxa"/>
            </w:tcMar>
            <w:vAlign w:val="center"/>
          </w:tcPr>
          <w:p w14:paraId="034B6CBF" w14:textId="77777777" w:rsidR="00BF0F78" w:rsidRPr="00B50598" w:rsidRDefault="00000000">
            <w:pPr>
              <w:widowControl w:val="0"/>
              <w:overflowPunct w:val="0"/>
              <w:adjustRightInd w:val="0"/>
              <w:snapToGrid w:val="0"/>
              <w:spacing w:after="0" w:line="240" w:lineRule="auto"/>
              <w:rPr>
                <w:iCs/>
                <w:sz w:val="18"/>
                <w:szCs w:val="18"/>
              </w:rPr>
            </w:pPr>
            <m:oMathPara>
              <m:oMathParaPr>
                <m:jc m:val="left"/>
              </m:oMathParaPr>
              <m:oMath>
                <m:r>
                  <m:rPr>
                    <m:sty m:val="p"/>
                  </m:rPr>
                  <w:rPr>
                    <w:rFonts w:ascii="Cambria Math" w:hAnsi="Cambria Math"/>
                    <w:sz w:val="18"/>
                    <w:szCs w:val="18"/>
                  </w:rPr>
                  <m:t>GOVEF</m:t>
                </m:r>
              </m:oMath>
            </m:oMathPara>
          </w:p>
        </w:tc>
        <w:tc>
          <w:tcPr>
            <w:tcW w:w="1410" w:type="dxa"/>
            <w:noWrap/>
            <w:tcMar>
              <w:top w:w="45" w:type="dxa"/>
              <w:bottom w:w="45" w:type="dxa"/>
            </w:tcMar>
            <w:vAlign w:val="center"/>
          </w:tcPr>
          <w:p w14:paraId="7F97820C" w14:textId="77777777" w:rsidR="00BF0F78" w:rsidRPr="00B50598" w:rsidRDefault="00000000">
            <w:pPr>
              <w:widowControl w:val="0"/>
              <w:overflowPunct w:val="0"/>
              <w:adjustRightInd w:val="0"/>
              <w:snapToGrid w:val="0"/>
              <w:spacing w:after="0" w:line="240" w:lineRule="auto"/>
              <w:rPr>
                <w:sz w:val="18"/>
                <w:szCs w:val="18"/>
              </w:rPr>
            </w:pPr>
            <w:r w:rsidRPr="00B50598">
              <w:rPr>
                <w:sz w:val="18"/>
                <w:szCs w:val="18"/>
              </w:rPr>
              <w:t>−8.417</w:t>
            </w:r>
          </w:p>
        </w:tc>
        <w:tc>
          <w:tcPr>
            <w:tcW w:w="1559" w:type="dxa"/>
            <w:noWrap/>
            <w:tcMar>
              <w:top w:w="45" w:type="dxa"/>
              <w:bottom w:w="45" w:type="dxa"/>
            </w:tcMar>
            <w:vAlign w:val="center"/>
          </w:tcPr>
          <w:p w14:paraId="7264FC12" w14:textId="77777777" w:rsidR="00BF0F78" w:rsidRPr="00B50598" w:rsidRDefault="00000000">
            <w:pPr>
              <w:widowControl w:val="0"/>
              <w:overflowPunct w:val="0"/>
              <w:adjustRightInd w:val="0"/>
              <w:snapToGrid w:val="0"/>
              <w:spacing w:after="0" w:line="240" w:lineRule="auto"/>
              <w:rPr>
                <w:sz w:val="18"/>
                <w:szCs w:val="18"/>
              </w:rPr>
            </w:pPr>
            <w:r w:rsidRPr="00B50598">
              <w:rPr>
                <w:sz w:val="18"/>
                <w:szCs w:val="18"/>
              </w:rPr>
              <w:t>4.105</w:t>
            </w:r>
          </w:p>
        </w:tc>
        <w:tc>
          <w:tcPr>
            <w:tcW w:w="1752" w:type="dxa"/>
            <w:noWrap/>
            <w:tcMar>
              <w:top w:w="45" w:type="dxa"/>
              <w:bottom w:w="45" w:type="dxa"/>
            </w:tcMar>
            <w:vAlign w:val="center"/>
          </w:tcPr>
          <w:p w14:paraId="27273D18" w14:textId="77777777" w:rsidR="00BF0F78" w:rsidRPr="00B50598" w:rsidRDefault="00000000">
            <w:pPr>
              <w:widowControl w:val="0"/>
              <w:overflowPunct w:val="0"/>
              <w:adjustRightInd w:val="0"/>
              <w:snapToGrid w:val="0"/>
              <w:spacing w:after="0" w:line="240" w:lineRule="auto"/>
              <w:rPr>
                <w:sz w:val="18"/>
                <w:szCs w:val="18"/>
              </w:rPr>
            </w:pPr>
            <w:r w:rsidRPr="00B50598">
              <w:rPr>
                <w:sz w:val="18"/>
                <w:szCs w:val="18"/>
              </w:rPr>
              <w:t>−2.051</w:t>
            </w:r>
          </w:p>
        </w:tc>
        <w:tc>
          <w:tcPr>
            <w:tcW w:w="1286" w:type="dxa"/>
            <w:noWrap/>
            <w:tcMar>
              <w:top w:w="45" w:type="dxa"/>
              <w:bottom w:w="45" w:type="dxa"/>
            </w:tcMar>
            <w:vAlign w:val="center"/>
          </w:tcPr>
          <w:p w14:paraId="275F939E" w14:textId="77777777" w:rsidR="00BF0F78" w:rsidRPr="00B50598" w:rsidRDefault="00000000">
            <w:pPr>
              <w:widowControl w:val="0"/>
              <w:overflowPunct w:val="0"/>
              <w:adjustRightInd w:val="0"/>
              <w:snapToGrid w:val="0"/>
              <w:spacing w:after="0" w:line="240" w:lineRule="auto"/>
              <w:rPr>
                <w:sz w:val="18"/>
                <w:szCs w:val="18"/>
              </w:rPr>
            </w:pPr>
            <w:r w:rsidRPr="00B50598">
              <w:rPr>
                <w:sz w:val="18"/>
                <w:szCs w:val="18"/>
              </w:rPr>
              <w:t>0.052*</w:t>
            </w:r>
          </w:p>
        </w:tc>
      </w:tr>
      <w:tr w:rsidR="009966AD" w:rsidRPr="00B50598" w14:paraId="2FCB774A" w14:textId="77777777" w:rsidTr="00C21892">
        <w:trPr>
          <w:cantSplit/>
        </w:trPr>
        <w:tc>
          <w:tcPr>
            <w:tcW w:w="1511" w:type="dxa"/>
            <w:gridSpan w:val="2"/>
            <w:tcBorders>
              <w:bottom w:val="single" w:sz="4" w:space="0" w:color="auto"/>
            </w:tcBorders>
            <w:noWrap/>
            <w:tcMar>
              <w:top w:w="45" w:type="dxa"/>
              <w:bottom w:w="45" w:type="dxa"/>
            </w:tcMar>
            <w:vAlign w:val="center"/>
          </w:tcPr>
          <w:p w14:paraId="07476ABF" w14:textId="77777777" w:rsidR="00BF0F78" w:rsidRPr="00B50598" w:rsidRDefault="00000000">
            <w:pPr>
              <w:widowControl w:val="0"/>
              <w:overflowPunct w:val="0"/>
              <w:adjustRightInd w:val="0"/>
              <w:snapToGrid w:val="0"/>
              <w:spacing w:after="0" w:line="240" w:lineRule="auto"/>
              <w:rPr>
                <w:iCs/>
                <w:sz w:val="18"/>
                <w:szCs w:val="18"/>
              </w:rPr>
            </w:pPr>
            <w:r w:rsidRPr="00B50598">
              <w:rPr>
                <w:iCs/>
                <w:sz w:val="18"/>
                <w:szCs w:val="18"/>
              </w:rPr>
              <w:t>Intercept</w:t>
            </w:r>
          </w:p>
        </w:tc>
        <w:tc>
          <w:tcPr>
            <w:tcW w:w="1410" w:type="dxa"/>
            <w:tcBorders>
              <w:bottom w:val="single" w:sz="4" w:space="0" w:color="auto"/>
            </w:tcBorders>
            <w:noWrap/>
            <w:tcMar>
              <w:top w:w="45" w:type="dxa"/>
              <w:bottom w:w="45" w:type="dxa"/>
            </w:tcMar>
            <w:vAlign w:val="center"/>
          </w:tcPr>
          <w:p w14:paraId="59D6C7E6" w14:textId="77777777" w:rsidR="00BF0F78" w:rsidRPr="00B50598" w:rsidRDefault="00000000">
            <w:pPr>
              <w:widowControl w:val="0"/>
              <w:overflowPunct w:val="0"/>
              <w:adjustRightInd w:val="0"/>
              <w:snapToGrid w:val="0"/>
              <w:spacing w:after="0" w:line="240" w:lineRule="auto"/>
              <w:rPr>
                <w:sz w:val="18"/>
                <w:szCs w:val="18"/>
              </w:rPr>
            </w:pPr>
            <w:r w:rsidRPr="00B50598">
              <w:rPr>
                <w:sz w:val="18"/>
                <w:szCs w:val="18"/>
              </w:rPr>
              <w:t>29.607</w:t>
            </w:r>
          </w:p>
        </w:tc>
        <w:tc>
          <w:tcPr>
            <w:tcW w:w="1559" w:type="dxa"/>
            <w:tcBorders>
              <w:bottom w:val="single" w:sz="4" w:space="0" w:color="auto"/>
            </w:tcBorders>
            <w:noWrap/>
            <w:tcMar>
              <w:top w:w="45" w:type="dxa"/>
              <w:bottom w:w="45" w:type="dxa"/>
            </w:tcMar>
            <w:vAlign w:val="center"/>
          </w:tcPr>
          <w:p w14:paraId="1FBFAA55" w14:textId="77777777" w:rsidR="00BF0F78" w:rsidRPr="00B50598" w:rsidRDefault="00000000">
            <w:pPr>
              <w:widowControl w:val="0"/>
              <w:overflowPunct w:val="0"/>
              <w:adjustRightInd w:val="0"/>
              <w:snapToGrid w:val="0"/>
              <w:spacing w:after="0" w:line="240" w:lineRule="auto"/>
              <w:rPr>
                <w:sz w:val="18"/>
                <w:szCs w:val="18"/>
              </w:rPr>
            </w:pPr>
            <w:r w:rsidRPr="00B50598">
              <w:rPr>
                <w:sz w:val="18"/>
                <w:szCs w:val="18"/>
              </w:rPr>
              <w:t>4.529</w:t>
            </w:r>
          </w:p>
        </w:tc>
        <w:tc>
          <w:tcPr>
            <w:tcW w:w="1752" w:type="dxa"/>
            <w:tcBorders>
              <w:bottom w:val="single" w:sz="4" w:space="0" w:color="auto"/>
            </w:tcBorders>
            <w:noWrap/>
            <w:tcMar>
              <w:top w:w="45" w:type="dxa"/>
              <w:bottom w:w="45" w:type="dxa"/>
            </w:tcMar>
            <w:vAlign w:val="center"/>
          </w:tcPr>
          <w:p w14:paraId="16F64850" w14:textId="77777777" w:rsidR="00BF0F78" w:rsidRPr="00B50598" w:rsidRDefault="00000000">
            <w:pPr>
              <w:widowControl w:val="0"/>
              <w:overflowPunct w:val="0"/>
              <w:adjustRightInd w:val="0"/>
              <w:snapToGrid w:val="0"/>
              <w:spacing w:after="0" w:line="240" w:lineRule="auto"/>
              <w:rPr>
                <w:sz w:val="18"/>
                <w:szCs w:val="18"/>
              </w:rPr>
            </w:pPr>
            <w:r w:rsidRPr="00B50598">
              <w:rPr>
                <w:sz w:val="18"/>
                <w:szCs w:val="18"/>
              </w:rPr>
              <w:t>6.537</w:t>
            </w:r>
          </w:p>
        </w:tc>
        <w:tc>
          <w:tcPr>
            <w:tcW w:w="1286" w:type="dxa"/>
            <w:tcBorders>
              <w:bottom w:val="single" w:sz="4" w:space="0" w:color="auto"/>
            </w:tcBorders>
            <w:noWrap/>
            <w:tcMar>
              <w:top w:w="45" w:type="dxa"/>
              <w:bottom w:w="45" w:type="dxa"/>
            </w:tcMar>
            <w:vAlign w:val="center"/>
          </w:tcPr>
          <w:p w14:paraId="0140D8D8" w14:textId="77777777" w:rsidR="00BF0F78" w:rsidRPr="00B50598" w:rsidRDefault="00000000">
            <w:pPr>
              <w:widowControl w:val="0"/>
              <w:overflowPunct w:val="0"/>
              <w:adjustRightInd w:val="0"/>
              <w:snapToGrid w:val="0"/>
              <w:spacing w:after="0" w:line="240" w:lineRule="auto"/>
              <w:rPr>
                <w:sz w:val="18"/>
                <w:szCs w:val="18"/>
              </w:rPr>
            </w:pPr>
            <w:r w:rsidRPr="00B50598">
              <w:rPr>
                <w:sz w:val="18"/>
                <w:szCs w:val="18"/>
              </w:rPr>
              <w:t>0.000***</w:t>
            </w:r>
          </w:p>
        </w:tc>
      </w:tr>
      <w:tr w:rsidR="009966AD" w:rsidRPr="00B50598" w14:paraId="7BC45D8E" w14:textId="77777777" w:rsidTr="00C21892">
        <w:trPr>
          <w:cantSplit/>
        </w:trPr>
        <w:tc>
          <w:tcPr>
            <w:tcW w:w="7518" w:type="dxa"/>
            <w:gridSpan w:val="6"/>
            <w:tcBorders>
              <w:top w:val="single" w:sz="4" w:space="0" w:color="auto"/>
              <w:bottom w:val="nil"/>
            </w:tcBorders>
            <w:noWrap/>
            <w:tcMar>
              <w:top w:w="45" w:type="dxa"/>
              <w:bottom w:w="45" w:type="dxa"/>
            </w:tcMar>
            <w:vAlign w:val="center"/>
          </w:tcPr>
          <w:p w14:paraId="195F6578" w14:textId="77777777" w:rsidR="00BF0F78" w:rsidRPr="00B50598" w:rsidRDefault="00000000">
            <w:pPr>
              <w:widowControl w:val="0"/>
              <w:overflowPunct w:val="0"/>
              <w:adjustRightInd w:val="0"/>
              <w:snapToGrid w:val="0"/>
              <w:spacing w:after="0" w:line="240" w:lineRule="auto"/>
              <w:rPr>
                <w:iCs/>
                <w:sz w:val="18"/>
                <w:szCs w:val="18"/>
              </w:rPr>
            </w:pPr>
            <w:r w:rsidRPr="00B50598">
              <w:rPr>
                <w:iCs/>
                <w:sz w:val="18"/>
                <w:szCs w:val="18"/>
              </w:rPr>
              <w:t>Short run output</w:t>
            </w:r>
          </w:p>
        </w:tc>
      </w:tr>
      <w:tr w:rsidR="009966AD" w:rsidRPr="00B50598" w14:paraId="002327E3" w14:textId="77777777" w:rsidTr="00C21892">
        <w:trPr>
          <w:cantSplit/>
        </w:trPr>
        <w:tc>
          <w:tcPr>
            <w:tcW w:w="1504" w:type="dxa"/>
            <w:tcBorders>
              <w:top w:val="nil"/>
            </w:tcBorders>
            <w:noWrap/>
            <w:tcMar>
              <w:top w:w="45" w:type="dxa"/>
              <w:bottom w:w="45" w:type="dxa"/>
            </w:tcMar>
            <w:vAlign w:val="center"/>
          </w:tcPr>
          <w:p w14:paraId="3746188B" w14:textId="77777777" w:rsidR="00BF0F78" w:rsidRPr="00B50598" w:rsidRDefault="00000000">
            <w:pPr>
              <w:widowControl w:val="0"/>
              <w:overflowPunct w:val="0"/>
              <w:adjustRightInd w:val="0"/>
              <w:snapToGrid w:val="0"/>
              <w:spacing w:after="0" w:line="240" w:lineRule="auto"/>
              <w:rPr>
                <w:iCs/>
                <w:sz w:val="18"/>
                <w:szCs w:val="18"/>
              </w:rPr>
            </w:pPr>
            <m:oMathPara>
              <m:oMathParaPr>
                <m:jc m:val="left"/>
              </m:oMathParaPr>
              <m:oMath>
                <m:r>
                  <m:rPr>
                    <m:sty m:val="p"/>
                  </m:rPr>
                  <w:rPr>
                    <w:rFonts w:ascii="Cambria Math" w:hAnsi="Cambria Math"/>
                    <w:sz w:val="18"/>
                    <w:szCs w:val="18"/>
                  </w:rPr>
                  <m:t>∆(</m:t>
                </m:r>
                <m:sSub>
                  <m:sSubPr>
                    <m:ctrlPr>
                      <w:rPr>
                        <w:rFonts w:ascii="Cambria Math" w:hAnsi="Cambria Math"/>
                        <w:iCs/>
                        <w:sz w:val="18"/>
                        <w:szCs w:val="18"/>
                      </w:rPr>
                    </m:ctrlPr>
                  </m:sSubPr>
                  <m:e>
                    <m:r>
                      <m:rPr>
                        <m:sty m:val="p"/>
                      </m:rPr>
                      <w:rPr>
                        <w:rFonts w:ascii="Cambria Math" w:hAnsi="Cambria Math"/>
                        <w:sz w:val="18"/>
                        <w:szCs w:val="18"/>
                      </w:rPr>
                      <m:t>INQ</m:t>
                    </m:r>
                  </m:e>
                  <m:sub>
                    <m:r>
                      <m:rPr>
                        <m:sty m:val="p"/>
                      </m:rPr>
                      <w:rPr>
                        <w:rFonts w:ascii="Cambria Math" w:hAnsi="Cambria Math"/>
                        <w:sz w:val="18"/>
                        <w:szCs w:val="18"/>
                      </w:rPr>
                      <m:t>-1</m:t>
                    </m:r>
                  </m:sub>
                </m:sSub>
                <m:r>
                  <m:rPr>
                    <m:sty m:val="p"/>
                  </m:rPr>
                  <w:rPr>
                    <w:rFonts w:ascii="Cambria Math" w:hAnsi="Cambria Math"/>
                    <w:sz w:val="18"/>
                    <w:szCs w:val="18"/>
                  </w:rPr>
                  <m:t>)</m:t>
                </m:r>
              </m:oMath>
            </m:oMathPara>
          </w:p>
        </w:tc>
        <w:tc>
          <w:tcPr>
            <w:tcW w:w="1417" w:type="dxa"/>
            <w:gridSpan w:val="2"/>
            <w:tcBorders>
              <w:top w:val="nil"/>
            </w:tcBorders>
            <w:noWrap/>
            <w:tcMar>
              <w:top w:w="45" w:type="dxa"/>
              <w:bottom w:w="45" w:type="dxa"/>
            </w:tcMar>
            <w:vAlign w:val="center"/>
          </w:tcPr>
          <w:p w14:paraId="172869C9" w14:textId="77777777" w:rsidR="00BF0F78" w:rsidRPr="00B50598" w:rsidRDefault="00000000">
            <w:pPr>
              <w:widowControl w:val="0"/>
              <w:overflowPunct w:val="0"/>
              <w:adjustRightInd w:val="0"/>
              <w:snapToGrid w:val="0"/>
              <w:spacing w:after="0" w:line="240" w:lineRule="auto"/>
              <w:rPr>
                <w:iCs/>
                <w:sz w:val="18"/>
                <w:szCs w:val="18"/>
              </w:rPr>
            </w:pPr>
            <w:r w:rsidRPr="00B50598">
              <w:rPr>
                <w:iCs/>
                <w:sz w:val="18"/>
                <w:szCs w:val="18"/>
              </w:rPr>
              <w:t>0.415</w:t>
            </w:r>
          </w:p>
        </w:tc>
        <w:tc>
          <w:tcPr>
            <w:tcW w:w="1559" w:type="dxa"/>
            <w:tcBorders>
              <w:top w:val="nil"/>
            </w:tcBorders>
            <w:noWrap/>
            <w:tcMar>
              <w:top w:w="45" w:type="dxa"/>
              <w:bottom w:w="45" w:type="dxa"/>
            </w:tcMar>
            <w:vAlign w:val="center"/>
          </w:tcPr>
          <w:p w14:paraId="046EFCF8" w14:textId="77777777" w:rsidR="00BF0F78" w:rsidRPr="00B50598" w:rsidRDefault="00000000">
            <w:pPr>
              <w:widowControl w:val="0"/>
              <w:overflowPunct w:val="0"/>
              <w:adjustRightInd w:val="0"/>
              <w:snapToGrid w:val="0"/>
              <w:spacing w:after="0" w:line="240" w:lineRule="auto"/>
              <w:rPr>
                <w:sz w:val="18"/>
                <w:szCs w:val="18"/>
              </w:rPr>
            </w:pPr>
            <w:r w:rsidRPr="00B50598">
              <w:rPr>
                <w:sz w:val="18"/>
                <w:szCs w:val="18"/>
              </w:rPr>
              <w:t>0.206</w:t>
            </w:r>
          </w:p>
        </w:tc>
        <w:tc>
          <w:tcPr>
            <w:tcW w:w="1752" w:type="dxa"/>
            <w:tcBorders>
              <w:top w:val="nil"/>
            </w:tcBorders>
            <w:noWrap/>
            <w:tcMar>
              <w:top w:w="45" w:type="dxa"/>
              <w:bottom w:w="45" w:type="dxa"/>
            </w:tcMar>
            <w:vAlign w:val="center"/>
          </w:tcPr>
          <w:p w14:paraId="30EB6B5E" w14:textId="77777777" w:rsidR="00BF0F78" w:rsidRPr="00B50598" w:rsidRDefault="00000000">
            <w:pPr>
              <w:widowControl w:val="0"/>
              <w:overflowPunct w:val="0"/>
              <w:adjustRightInd w:val="0"/>
              <w:snapToGrid w:val="0"/>
              <w:spacing w:after="0" w:line="240" w:lineRule="auto"/>
              <w:rPr>
                <w:sz w:val="18"/>
                <w:szCs w:val="18"/>
              </w:rPr>
            </w:pPr>
            <w:r w:rsidRPr="00B50598">
              <w:rPr>
                <w:sz w:val="18"/>
                <w:szCs w:val="18"/>
              </w:rPr>
              <w:t>2.016</w:t>
            </w:r>
          </w:p>
        </w:tc>
        <w:tc>
          <w:tcPr>
            <w:tcW w:w="1286" w:type="dxa"/>
            <w:tcBorders>
              <w:top w:val="nil"/>
            </w:tcBorders>
            <w:noWrap/>
            <w:tcMar>
              <w:top w:w="45" w:type="dxa"/>
              <w:bottom w:w="45" w:type="dxa"/>
            </w:tcMar>
            <w:vAlign w:val="center"/>
          </w:tcPr>
          <w:p w14:paraId="5282D49B" w14:textId="77777777" w:rsidR="00BF0F78" w:rsidRPr="00B50598" w:rsidRDefault="00000000">
            <w:pPr>
              <w:widowControl w:val="0"/>
              <w:overflowPunct w:val="0"/>
              <w:adjustRightInd w:val="0"/>
              <w:snapToGrid w:val="0"/>
              <w:spacing w:after="0" w:line="240" w:lineRule="auto"/>
              <w:rPr>
                <w:sz w:val="18"/>
                <w:szCs w:val="18"/>
              </w:rPr>
            </w:pPr>
            <w:r w:rsidRPr="00B50598">
              <w:rPr>
                <w:sz w:val="18"/>
                <w:szCs w:val="18"/>
              </w:rPr>
              <w:t>0.056*</w:t>
            </w:r>
          </w:p>
        </w:tc>
      </w:tr>
      <w:tr w:rsidR="009966AD" w:rsidRPr="00B50598" w14:paraId="76DF0B52" w14:textId="77777777" w:rsidTr="00C21892">
        <w:trPr>
          <w:cantSplit/>
        </w:trPr>
        <w:tc>
          <w:tcPr>
            <w:tcW w:w="1511" w:type="dxa"/>
            <w:gridSpan w:val="2"/>
            <w:noWrap/>
            <w:tcMar>
              <w:top w:w="45" w:type="dxa"/>
              <w:bottom w:w="45" w:type="dxa"/>
            </w:tcMar>
            <w:vAlign w:val="center"/>
          </w:tcPr>
          <w:p w14:paraId="5FBDE051" w14:textId="77777777" w:rsidR="00BF0F78" w:rsidRPr="00B50598" w:rsidRDefault="00000000">
            <w:pPr>
              <w:widowControl w:val="0"/>
              <w:overflowPunct w:val="0"/>
              <w:adjustRightInd w:val="0"/>
              <w:snapToGrid w:val="0"/>
              <w:spacing w:after="0" w:line="240" w:lineRule="auto"/>
              <w:rPr>
                <w:iCs/>
                <w:sz w:val="18"/>
                <w:szCs w:val="18"/>
              </w:rPr>
            </w:pPr>
            <m:oMathPara>
              <m:oMathParaPr>
                <m:jc m:val="left"/>
              </m:oMathParaPr>
              <m:oMath>
                <m:r>
                  <m:rPr>
                    <m:sty m:val="p"/>
                  </m:rPr>
                  <w:rPr>
                    <w:rFonts w:ascii="Cambria Math" w:hAnsi="Cambria Math"/>
                    <w:sz w:val="18"/>
                    <w:szCs w:val="18"/>
                  </w:rPr>
                  <m:t>∆(GDP)</m:t>
                </m:r>
              </m:oMath>
            </m:oMathPara>
          </w:p>
        </w:tc>
        <w:tc>
          <w:tcPr>
            <w:tcW w:w="1410" w:type="dxa"/>
            <w:noWrap/>
            <w:tcMar>
              <w:top w:w="45" w:type="dxa"/>
              <w:bottom w:w="45" w:type="dxa"/>
            </w:tcMar>
            <w:vAlign w:val="center"/>
          </w:tcPr>
          <w:p w14:paraId="12536DC1" w14:textId="77777777" w:rsidR="00BF0F78" w:rsidRPr="00B50598" w:rsidRDefault="00000000">
            <w:pPr>
              <w:widowControl w:val="0"/>
              <w:overflowPunct w:val="0"/>
              <w:adjustRightInd w:val="0"/>
              <w:snapToGrid w:val="0"/>
              <w:spacing w:after="0" w:line="240" w:lineRule="auto"/>
              <w:rPr>
                <w:sz w:val="18"/>
                <w:szCs w:val="18"/>
              </w:rPr>
            </w:pPr>
            <w:r w:rsidRPr="00B50598">
              <w:rPr>
                <w:sz w:val="18"/>
                <w:szCs w:val="18"/>
              </w:rPr>
              <w:t>0.192</w:t>
            </w:r>
          </w:p>
        </w:tc>
        <w:tc>
          <w:tcPr>
            <w:tcW w:w="1559" w:type="dxa"/>
            <w:noWrap/>
            <w:tcMar>
              <w:top w:w="45" w:type="dxa"/>
              <w:bottom w:w="45" w:type="dxa"/>
            </w:tcMar>
            <w:vAlign w:val="center"/>
          </w:tcPr>
          <w:p w14:paraId="25A63D50" w14:textId="77777777" w:rsidR="00BF0F78" w:rsidRPr="00B50598" w:rsidRDefault="00000000">
            <w:pPr>
              <w:widowControl w:val="0"/>
              <w:overflowPunct w:val="0"/>
              <w:adjustRightInd w:val="0"/>
              <w:snapToGrid w:val="0"/>
              <w:spacing w:after="0" w:line="240" w:lineRule="auto"/>
              <w:rPr>
                <w:sz w:val="18"/>
                <w:szCs w:val="18"/>
              </w:rPr>
            </w:pPr>
            <w:r w:rsidRPr="00B50598">
              <w:rPr>
                <w:sz w:val="18"/>
                <w:szCs w:val="18"/>
              </w:rPr>
              <w:t>0.108</w:t>
            </w:r>
          </w:p>
        </w:tc>
        <w:tc>
          <w:tcPr>
            <w:tcW w:w="1752" w:type="dxa"/>
            <w:noWrap/>
            <w:tcMar>
              <w:top w:w="45" w:type="dxa"/>
              <w:bottom w:w="45" w:type="dxa"/>
            </w:tcMar>
            <w:vAlign w:val="center"/>
          </w:tcPr>
          <w:p w14:paraId="758AE260" w14:textId="77777777" w:rsidR="00BF0F78" w:rsidRPr="00B50598" w:rsidRDefault="00000000">
            <w:pPr>
              <w:widowControl w:val="0"/>
              <w:overflowPunct w:val="0"/>
              <w:adjustRightInd w:val="0"/>
              <w:snapToGrid w:val="0"/>
              <w:spacing w:after="0" w:line="240" w:lineRule="auto"/>
              <w:rPr>
                <w:sz w:val="18"/>
                <w:szCs w:val="18"/>
              </w:rPr>
            </w:pPr>
            <w:r w:rsidRPr="00B50598">
              <w:rPr>
                <w:sz w:val="18"/>
                <w:szCs w:val="18"/>
              </w:rPr>
              <w:t>1.782</w:t>
            </w:r>
          </w:p>
        </w:tc>
        <w:tc>
          <w:tcPr>
            <w:tcW w:w="1286" w:type="dxa"/>
            <w:noWrap/>
            <w:tcMar>
              <w:top w:w="45" w:type="dxa"/>
              <w:bottom w:w="45" w:type="dxa"/>
            </w:tcMar>
            <w:vAlign w:val="center"/>
          </w:tcPr>
          <w:p w14:paraId="6C1B858B" w14:textId="77777777" w:rsidR="00BF0F78" w:rsidRPr="00B50598" w:rsidRDefault="00000000">
            <w:pPr>
              <w:widowControl w:val="0"/>
              <w:overflowPunct w:val="0"/>
              <w:adjustRightInd w:val="0"/>
              <w:snapToGrid w:val="0"/>
              <w:spacing w:after="0" w:line="240" w:lineRule="auto"/>
              <w:rPr>
                <w:sz w:val="18"/>
                <w:szCs w:val="18"/>
              </w:rPr>
            </w:pPr>
            <w:r w:rsidRPr="00B50598">
              <w:rPr>
                <w:sz w:val="18"/>
                <w:szCs w:val="18"/>
              </w:rPr>
              <w:t>0.089*</w:t>
            </w:r>
          </w:p>
        </w:tc>
      </w:tr>
      <w:tr w:rsidR="009966AD" w:rsidRPr="00B50598" w14:paraId="62BD0AA1" w14:textId="77777777" w:rsidTr="00C21892">
        <w:trPr>
          <w:cantSplit/>
        </w:trPr>
        <w:tc>
          <w:tcPr>
            <w:tcW w:w="1511" w:type="dxa"/>
            <w:gridSpan w:val="2"/>
            <w:noWrap/>
            <w:tcMar>
              <w:top w:w="45" w:type="dxa"/>
              <w:bottom w:w="45" w:type="dxa"/>
            </w:tcMar>
            <w:vAlign w:val="center"/>
          </w:tcPr>
          <w:p w14:paraId="65C2434B" w14:textId="77777777" w:rsidR="00BF0F78" w:rsidRPr="00B50598" w:rsidRDefault="00000000">
            <w:pPr>
              <w:widowControl w:val="0"/>
              <w:overflowPunct w:val="0"/>
              <w:adjustRightInd w:val="0"/>
              <w:snapToGrid w:val="0"/>
              <w:spacing w:after="0" w:line="240" w:lineRule="auto"/>
              <w:rPr>
                <w:iCs/>
                <w:sz w:val="18"/>
                <w:szCs w:val="18"/>
              </w:rPr>
            </w:pPr>
            <m:oMathPara>
              <m:oMathParaPr>
                <m:jc m:val="left"/>
              </m:oMathParaPr>
              <m:oMath>
                <m:r>
                  <m:rPr>
                    <m:sty m:val="p"/>
                  </m:rPr>
                  <w:rPr>
                    <w:rFonts w:ascii="Cambria Math" w:hAnsi="Cambria Math"/>
                    <w:sz w:val="18"/>
                    <w:szCs w:val="18"/>
                  </w:rPr>
                  <m:t>∆(EDGDP)</m:t>
                </m:r>
              </m:oMath>
            </m:oMathPara>
          </w:p>
        </w:tc>
        <w:tc>
          <w:tcPr>
            <w:tcW w:w="1410" w:type="dxa"/>
            <w:noWrap/>
            <w:tcMar>
              <w:top w:w="45" w:type="dxa"/>
              <w:bottom w:w="45" w:type="dxa"/>
            </w:tcMar>
            <w:vAlign w:val="center"/>
          </w:tcPr>
          <w:p w14:paraId="689C93D9" w14:textId="77777777" w:rsidR="00BF0F78" w:rsidRPr="00B50598" w:rsidRDefault="00000000">
            <w:pPr>
              <w:widowControl w:val="0"/>
              <w:overflowPunct w:val="0"/>
              <w:adjustRightInd w:val="0"/>
              <w:snapToGrid w:val="0"/>
              <w:spacing w:after="0" w:line="240" w:lineRule="auto"/>
              <w:rPr>
                <w:sz w:val="18"/>
                <w:szCs w:val="18"/>
              </w:rPr>
            </w:pPr>
            <w:r w:rsidRPr="00B50598">
              <w:rPr>
                <w:sz w:val="18"/>
                <w:szCs w:val="18"/>
              </w:rPr>
              <w:t>−0.002</w:t>
            </w:r>
          </w:p>
        </w:tc>
        <w:tc>
          <w:tcPr>
            <w:tcW w:w="1559" w:type="dxa"/>
            <w:noWrap/>
            <w:tcMar>
              <w:top w:w="45" w:type="dxa"/>
              <w:bottom w:w="45" w:type="dxa"/>
            </w:tcMar>
            <w:vAlign w:val="center"/>
          </w:tcPr>
          <w:p w14:paraId="59E0D27C" w14:textId="77777777" w:rsidR="00BF0F78" w:rsidRPr="00B50598" w:rsidRDefault="00000000">
            <w:pPr>
              <w:widowControl w:val="0"/>
              <w:overflowPunct w:val="0"/>
              <w:adjustRightInd w:val="0"/>
              <w:snapToGrid w:val="0"/>
              <w:spacing w:after="0" w:line="240" w:lineRule="auto"/>
              <w:rPr>
                <w:sz w:val="18"/>
                <w:szCs w:val="18"/>
              </w:rPr>
            </w:pPr>
            <w:r w:rsidRPr="00B50598">
              <w:rPr>
                <w:sz w:val="18"/>
                <w:szCs w:val="18"/>
              </w:rPr>
              <w:t>0.058</w:t>
            </w:r>
          </w:p>
        </w:tc>
        <w:tc>
          <w:tcPr>
            <w:tcW w:w="1752" w:type="dxa"/>
            <w:noWrap/>
            <w:tcMar>
              <w:top w:w="45" w:type="dxa"/>
              <w:bottom w:w="45" w:type="dxa"/>
            </w:tcMar>
            <w:vAlign w:val="center"/>
          </w:tcPr>
          <w:p w14:paraId="20F7B30B" w14:textId="77777777" w:rsidR="00BF0F78" w:rsidRPr="00B50598" w:rsidRDefault="00000000">
            <w:pPr>
              <w:widowControl w:val="0"/>
              <w:overflowPunct w:val="0"/>
              <w:adjustRightInd w:val="0"/>
              <w:snapToGrid w:val="0"/>
              <w:spacing w:after="0" w:line="240" w:lineRule="auto"/>
              <w:rPr>
                <w:sz w:val="18"/>
                <w:szCs w:val="18"/>
              </w:rPr>
            </w:pPr>
            <w:r w:rsidRPr="00B50598">
              <w:rPr>
                <w:sz w:val="18"/>
                <w:szCs w:val="18"/>
              </w:rPr>
              <w:t>−0.041</w:t>
            </w:r>
          </w:p>
        </w:tc>
        <w:tc>
          <w:tcPr>
            <w:tcW w:w="1286" w:type="dxa"/>
            <w:noWrap/>
            <w:tcMar>
              <w:top w:w="45" w:type="dxa"/>
              <w:bottom w:w="45" w:type="dxa"/>
            </w:tcMar>
            <w:vAlign w:val="center"/>
          </w:tcPr>
          <w:p w14:paraId="599C7839" w14:textId="77777777" w:rsidR="00BF0F78" w:rsidRPr="00B50598" w:rsidRDefault="00000000">
            <w:pPr>
              <w:widowControl w:val="0"/>
              <w:overflowPunct w:val="0"/>
              <w:adjustRightInd w:val="0"/>
              <w:snapToGrid w:val="0"/>
              <w:spacing w:after="0" w:line="240" w:lineRule="auto"/>
              <w:rPr>
                <w:sz w:val="18"/>
                <w:szCs w:val="18"/>
              </w:rPr>
            </w:pPr>
            <w:r w:rsidRPr="00B50598">
              <w:rPr>
                <w:sz w:val="18"/>
                <w:szCs w:val="18"/>
              </w:rPr>
              <w:t>0.967</w:t>
            </w:r>
          </w:p>
        </w:tc>
      </w:tr>
      <w:tr w:rsidR="009966AD" w:rsidRPr="00B50598" w14:paraId="05728EF6" w14:textId="77777777" w:rsidTr="00C21892">
        <w:trPr>
          <w:cantSplit/>
        </w:trPr>
        <w:tc>
          <w:tcPr>
            <w:tcW w:w="1511" w:type="dxa"/>
            <w:gridSpan w:val="2"/>
            <w:tcBorders>
              <w:bottom w:val="nil"/>
            </w:tcBorders>
            <w:noWrap/>
            <w:tcMar>
              <w:top w:w="45" w:type="dxa"/>
              <w:bottom w:w="45" w:type="dxa"/>
            </w:tcMar>
            <w:vAlign w:val="center"/>
          </w:tcPr>
          <w:p w14:paraId="094DC039" w14:textId="77777777" w:rsidR="00BF0F78" w:rsidRPr="00B50598" w:rsidRDefault="00000000">
            <w:pPr>
              <w:widowControl w:val="0"/>
              <w:overflowPunct w:val="0"/>
              <w:adjustRightInd w:val="0"/>
              <w:snapToGrid w:val="0"/>
              <w:spacing w:after="0" w:line="240" w:lineRule="auto"/>
              <w:rPr>
                <w:iCs/>
                <w:sz w:val="18"/>
                <w:szCs w:val="18"/>
              </w:rPr>
            </w:pPr>
            <m:oMathPara>
              <m:oMathParaPr>
                <m:jc m:val="left"/>
              </m:oMathParaPr>
              <m:oMath>
                <m:r>
                  <m:rPr>
                    <m:sty m:val="p"/>
                  </m:rPr>
                  <w:rPr>
                    <w:rFonts w:ascii="Cambria Math" w:hAnsi="Cambria Math"/>
                    <w:sz w:val="18"/>
                    <w:szCs w:val="18"/>
                  </w:rPr>
                  <m:t>∆(</m:t>
                </m:r>
                <m:sSub>
                  <m:sSubPr>
                    <m:ctrlPr>
                      <w:rPr>
                        <w:rFonts w:ascii="Cambria Math" w:hAnsi="Cambria Math"/>
                        <w:iCs/>
                        <w:sz w:val="18"/>
                        <w:szCs w:val="18"/>
                      </w:rPr>
                    </m:ctrlPr>
                  </m:sSubPr>
                  <m:e>
                    <m:r>
                      <m:rPr>
                        <m:sty m:val="p"/>
                      </m:rPr>
                      <w:rPr>
                        <w:rFonts w:ascii="Cambria Math" w:hAnsi="Cambria Math"/>
                        <w:sz w:val="18"/>
                        <w:szCs w:val="18"/>
                      </w:rPr>
                      <m:t>EDGDP</m:t>
                    </m:r>
                  </m:e>
                  <m:sub>
                    <m:r>
                      <m:rPr>
                        <m:sty m:val="p"/>
                      </m:rPr>
                      <w:rPr>
                        <w:rFonts w:ascii="Cambria Math" w:hAnsi="Cambria Math"/>
                        <w:sz w:val="18"/>
                        <w:szCs w:val="18"/>
                      </w:rPr>
                      <m:t>-1</m:t>
                    </m:r>
                  </m:sub>
                </m:sSub>
                <m:r>
                  <m:rPr>
                    <m:sty m:val="p"/>
                  </m:rPr>
                  <w:rPr>
                    <w:rFonts w:ascii="Cambria Math" w:hAnsi="Cambria Math"/>
                    <w:sz w:val="18"/>
                    <w:szCs w:val="18"/>
                  </w:rPr>
                  <m:t>)</m:t>
                </m:r>
              </m:oMath>
            </m:oMathPara>
          </w:p>
        </w:tc>
        <w:tc>
          <w:tcPr>
            <w:tcW w:w="1410" w:type="dxa"/>
            <w:tcBorders>
              <w:bottom w:val="nil"/>
            </w:tcBorders>
            <w:noWrap/>
            <w:tcMar>
              <w:top w:w="45" w:type="dxa"/>
              <w:bottom w:w="45" w:type="dxa"/>
            </w:tcMar>
            <w:vAlign w:val="center"/>
          </w:tcPr>
          <w:p w14:paraId="06D3F63F" w14:textId="77777777" w:rsidR="00BF0F78" w:rsidRPr="00B50598" w:rsidRDefault="00000000">
            <w:pPr>
              <w:widowControl w:val="0"/>
              <w:overflowPunct w:val="0"/>
              <w:adjustRightInd w:val="0"/>
              <w:snapToGrid w:val="0"/>
              <w:spacing w:after="0" w:line="240" w:lineRule="auto"/>
              <w:rPr>
                <w:sz w:val="18"/>
                <w:szCs w:val="18"/>
              </w:rPr>
            </w:pPr>
            <w:r w:rsidRPr="00B50598">
              <w:rPr>
                <w:sz w:val="18"/>
                <w:szCs w:val="18"/>
              </w:rPr>
              <w:t>−0.109</w:t>
            </w:r>
          </w:p>
        </w:tc>
        <w:tc>
          <w:tcPr>
            <w:tcW w:w="1559" w:type="dxa"/>
            <w:tcBorders>
              <w:bottom w:val="nil"/>
            </w:tcBorders>
            <w:noWrap/>
            <w:tcMar>
              <w:top w:w="45" w:type="dxa"/>
              <w:bottom w:w="45" w:type="dxa"/>
            </w:tcMar>
            <w:vAlign w:val="center"/>
          </w:tcPr>
          <w:p w14:paraId="0C9A7075" w14:textId="77777777" w:rsidR="00BF0F78" w:rsidRPr="00B50598" w:rsidRDefault="00000000">
            <w:pPr>
              <w:widowControl w:val="0"/>
              <w:overflowPunct w:val="0"/>
              <w:adjustRightInd w:val="0"/>
              <w:snapToGrid w:val="0"/>
              <w:spacing w:after="0" w:line="240" w:lineRule="auto"/>
              <w:rPr>
                <w:sz w:val="18"/>
                <w:szCs w:val="18"/>
              </w:rPr>
            </w:pPr>
            <w:r w:rsidRPr="00B50598">
              <w:rPr>
                <w:sz w:val="18"/>
                <w:szCs w:val="18"/>
              </w:rPr>
              <w:t>0.060</w:t>
            </w:r>
          </w:p>
        </w:tc>
        <w:tc>
          <w:tcPr>
            <w:tcW w:w="1752" w:type="dxa"/>
            <w:tcBorders>
              <w:bottom w:val="nil"/>
            </w:tcBorders>
            <w:noWrap/>
            <w:tcMar>
              <w:top w:w="45" w:type="dxa"/>
              <w:bottom w:w="45" w:type="dxa"/>
            </w:tcMar>
            <w:vAlign w:val="center"/>
          </w:tcPr>
          <w:p w14:paraId="1BD8FA5E" w14:textId="77777777" w:rsidR="00BF0F78" w:rsidRPr="00B50598" w:rsidRDefault="00000000">
            <w:pPr>
              <w:widowControl w:val="0"/>
              <w:overflowPunct w:val="0"/>
              <w:adjustRightInd w:val="0"/>
              <w:snapToGrid w:val="0"/>
              <w:spacing w:after="0" w:line="240" w:lineRule="auto"/>
              <w:rPr>
                <w:sz w:val="18"/>
                <w:szCs w:val="18"/>
              </w:rPr>
            </w:pPr>
            <w:r w:rsidRPr="00B50598">
              <w:rPr>
                <w:sz w:val="18"/>
                <w:szCs w:val="18"/>
              </w:rPr>
              <w:t>−1.819</w:t>
            </w:r>
          </w:p>
        </w:tc>
        <w:tc>
          <w:tcPr>
            <w:tcW w:w="1286" w:type="dxa"/>
            <w:tcBorders>
              <w:bottom w:val="nil"/>
            </w:tcBorders>
            <w:noWrap/>
            <w:tcMar>
              <w:top w:w="45" w:type="dxa"/>
              <w:bottom w:w="45" w:type="dxa"/>
            </w:tcMar>
            <w:vAlign w:val="center"/>
          </w:tcPr>
          <w:p w14:paraId="6E09B506" w14:textId="77777777" w:rsidR="00BF0F78" w:rsidRPr="00B50598" w:rsidRDefault="00000000">
            <w:pPr>
              <w:widowControl w:val="0"/>
              <w:overflowPunct w:val="0"/>
              <w:adjustRightInd w:val="0"/>
              <w:snapToGrid w:val="0"/>
              <w:spacing w:after="0" w:line="240" w:lineRule="auto"/>
              <w:rPr>
                <w:sz w:val="18"/>
                <w:szCs w:val="18"/>
              </w:rPr>
            </w:pPr>
            <w:r w:rsidRPr="00B50598">
              <w:rPr>
                <w:sz w:val="18"/>
                <w:szCs w:val="18"/>
              </w:rPr>
              <w:t>0.083*</w:t>
            </w:r>
          </w:p>
        </w:tc>
      </w:tr>
      <w:tr w:rsidR="009966AD" w:rsidRPr="00B50598" w14:paraId="75E8915E" w14:textId="77777777" w:rsidTr="00C21892">
        <w:trPr>
          <w:cantSplit/>
        </w:trPr>
        <w:tc>
          <w:tcPr>
            <w:tcW w:w="1511" w:type="dxa"/>
            <w:gridSpan w:val="2"/>
            <w:tcBorders>
              <w:top w:val="nil"/>
              <w:bottom w:val="single" w:sz="8" w:space="0" w:color="auto"/>
            </w:tcBorders>
            <w:noWrap/>
            <w:tcMar>
              <w:top w:w="45" w:type="dxa"/>
              <w:bottom w:w="45" w:type="dxa"/>
            </w:tcMar>
            <w:vAlign w:val="center"/>
          </w:tcPr>
          <w:p w14:paraId="16E31683" w14:textId="77777777" w:rsidR="00BF0F78" w:rsidRPr="00B50598" w:rsidRDefault="00000000">
            <w:pPr>
              <w:widowControl w:val="0"/>
              <w:overflowPunct w:val="0"/>
              <w:adjustRightInd w:val="0"/>
              <w:snapToGrid w:val="0"/>
              <w:spacing w:after="0" w:line="240" w:lineRule="auto"/>
              <w:rPr>
                <w:iCs/>
                <w:sz w:val="18"/>
                <w:szCs w:val="18"/>
              </w:rPr>
            </w:pPr>
            <m:oMathPara>
              <m:oMathParaPr>
                <m:jc m:val="left"/>
              </m:oMathParaPr>
              <m:oMath>
                <m:r>
                  <m:rPr>
                    <m:sty m:val="p"/>
                  </m:rPr>
                  <w:rPr>
                    <w:rFonts w:ascii="Cambria Math" w:hAnsi="Cambria Math"/>
                    <w:sz w:val="18"/>
                    <w:szCs w:val="18"/>
                  </w:rPr>
                  <m:t>ECM(-1)</m:t>
                </m:r>
              </m:oMath>
            </m:oMathPara>
          </w:p>
        </w:tc>
        <w:tc>
          <w:tcPr>
            <w:tcW w:w="1410" w:type="dxa"/>
            <w:tcBorders>
              <w:top w:val="nil"/>
              <w:bottom w:val="single" w:sz="8" w:space="0" w:color="auto"/>
            </w:tcBorders>
            <w:noWrap/>
            <w:tcMar>
              <w:top w:w="45" w:type="dxa"/>
              <w:bottom w:w="45" w:type="dxa"/>
            </w:tcMar>
            <w:vAlign w:val="center"/>
          </w:tcPr>
          <w:p w14:paraId="20E35A56" w14:textId="77777777" w:rsidR="00BF0F78" w:rsidRPr="00B50598" w:rsidRDefault="00000000">
            <w:pPr>
              <w:widowControl w:val="0"/>
              <w:overflowPunct w:val="0"/>
              <w:adjustRightInd w:val="0"/>
              <w:snapToGrid w:val="0"/>
              <w:spacing w:after="0" w:line="240" w:lineRule="auto"/>
              <w:rPr>
                <w:sz w:val="18"/>
                <w:szCs w:val="18"/>
              </w:rPr>
            </w:pPr>
            <w:r w:rsidRPr="00B50598">
              <w:rPr>
                <w:sz w:val="18"/>
                <w:szCs w:val="18"/>
              </w:rPr>
              <w:t>−1.335</w:t>
            </w:r>
          </w:p>
        </w:tc>
        <w:tc>
          <w:tcPr>
            <w:tcW w:w="1559" w:type="dxa"/>
            <w:tcBorders>
              <w:top w:val="nil"/>
              <w:bottom w:val="single" w:sz="8" w:space="0" w:color="auto"/>
            </w:tcBorders>
            <w:noWrap/>
            <w:tcMar>
              <w:top w:w="45" w:type="dxa"/>
              <w:bottom w:w="45" w:type="dxa"/>
            </w:tcMar>
            <w:vAlign w:val="center"/>
          </w:tcPr>
          <w:p w14:paraId="4D0D584D" w14:textId="77777777" w:rsidR="00BF0F78" w:rsidRPr="00B50598" w:rsidRDefault="00000000">
            <w:pPr>
              <w:widowControl w:val="0"/>
              <w:overflowPunct w:val="0"/>
              <w:adjustRightInd w:val="0"/>
              <w:snapToGrid w:val="0"/>
              <w:spacing w:after="0" w:line="240" w:lineRule="auto"/>
              <w:rPr>
                <w:sz w:val="18"/>
                <w:szCs w:val="18"/>
              </w:rPr>
            </w:pPr>
            <w:r w:rsidRPr="00B50598">
              <w:rPr>
                <w:sz w:val="18"/>
                <w:szCs w:val="18"/>
              </w:rPr>
              <w:t>0.240</w:t>
            </w:r>
          </w:p>
        </w:tc>
        <w:tc>
          <w:tcPr>
            <w:tcW w:w="1752" w:type="dxa"/>
            <w:tcBorders>
              <w:top w:val="nil"/>
              <w:bottom w:val="single" w:sz="8" w:space="0" w:color="auto"/>
            </w:tcBorders>
            <w:noWrap/>
            <w:tcMar>
              <w:top w:w="45" w:type="dxa"/>
              <w:bottom w:w="45" w:type="dxa"/>
            </w:tcMar>
            <w:vAlign w:val="center"/>
          </w:tcPr>
          <w:p w14:paraId="1401719E" w14:textId="77777777" w:rsidR="00BF0F78" w:rsidRPr="00B50598" w:rsidRDefault="00000000">
            <w:pPr>
              <w:widowControl w:val="0"/>
              <w:overflowPunct w:val="0"/>
              <w:adjustRightInd w:val="0"/>
              <w:snapToGrid w:val="0"/>
              <w:spacing w:after="0" w:line="240" w:lineRule="auto"/>
              <w:rPr>
                <w:sz w:val="18"/>
                <w:szCs w:val="18"/>
              </w:rPr>
            </w:pPr>
            <w:r w:rsidRPr="00B50598">
              <w:rPr>
                <w:sz w:val="18"/>
                <w:szCs w:val="18"/>
              </w:rPr>
              <w:t>−5.553</w:t>
            </w:r>
          </w:p>
        </w:tc>
        <w:tc>
          <w:tcPr>
            <w:tcW w:w="1286" w:type="dxa"/>
            <w:tcBorders>
              <w:top w:val="nil"/>
              <w:bottom w:val="single" w:sz="8" w:space="0" w:color="auto"/>
            </w:tcBorders>
            <w:noWrap/>
            <w:tcMar>
              <w:top w:w="45" w:type="dxa"/>
              <w:bottom w:w="45" w:type="dxa"/>
            </w:tcMar>
            <w:vAlign w:val="center"/>
          </w:tcPr>
          <w:p w14:paraId="1670869A" w14:textId="77777777" w:rsidR="00BF0F78" w:rsidRPr="00B50598" w:rsidRDefault="00000000">
            <w:pPr>
              <w:widowControl w:val="0"/>
              <w:overflowPunct w:val="0"/>
              <w:adjustRightInd w:val="0"/>
              <w:snapToGrid w:val="0"/>
              <w:spacing w:after="0" w:line="240" w:lineRule="auto"/>
              <w:rPr>
                <w:sz w:val="18"/>
                <w:szCs w:val="18"/>
              </w:rPr>
            </w:pPr>
            <w:r w:rsidRPr="00B50598">
              <w:rPr>
                <w:sz w:val="18"/>
                <w:szCs w:val="18"/>
              </w:rPr>
              <w:t>0.000***</w:t>
            </w:r>
          </w:p>
        </w:tc>
      </w:tr>
    </w:tbl>
    <w:p w14:paraId="2EFDFBB7" w14:textId="054C6EE7" w:rsidR="003F7102" w:rsidRPr="009B1BB3" w:rsidRDefault="003F7102" w:rsidP="003F7102">
      <w:pPr>
        <w:widowControl w:val="0"/>
        <w:overflowPunct w:val="0"/>
        <w:adjustRightInd w:val="0"/>
        <w:snapToGrid w:val="0"/>
        <w:spacing w:before="240" w:after="60" w:line="288" w:lineRule="auto"/>
        <w:ind w:left="2948"/>
      </w:pPr>
      <w:r w:rsidRPr="009B1BB3">
        <w:rPr>
          <w:b/>
        </w:rPr>
        <w:lastRenderedPageBreak/>
        <w:t>Table 7.</w:t>
      </w:r>
      <w:r w:rsidRPr="009B1BB3">
        <w:t xml:space="preserve"> </w:t>
      </w:r>
      <w:r>
        <w:rPr>
          <w:rFonts w:hint="eastAsia"/>
          <w:lang w:eastAsia="zh-CN"/>
        </w:rPr>
        <w:t>(</w:t>
      </w:r>
      <w:r w:rsidRPr="003F7102">
        <w:rPr>
          <w:rFonts w:hint="eastAsia"/>
          <w:i/>
          <w:iCs/>
          <w:lang w:eastAsia="zh-CN"/>
        </w:rPr>
        <w:t>Continued</w:t>
      </w:r>
      <w:r>
        <w:rPr>
          <w:rFonts w:hint="eastAsia"/>
          <w:lang w:eastAsia="zh-CN"/>
        </w:rPr>
        <w:t>)</w:t>
      </w:r>
      <w:r w:rsidRPr="009B1BB3">
        <w:t>.</w:t>
      </w:r>
    </w:p>
    <w:tbl>
      <w:tblPr>
        <w:tblW w:w="7518" w:type="dxa"/>
        <w:tblInd w:w="2948" w:type="dxa"/>
        <w:tblBorders>
          <w:top w:val="single" w:sz="8" w:space="0" w:color="auto"/>
          <w:bottom w:val="single" w:sz="8" w:space="0" w:color="auto"/>
        </w:tblBorders>
        <w:tblLayout w:type="fixed"/>
        <w:tblCellMar>
          <w:top w:w="57" w:type="dxa"/>
          <w:left w:w="57" w:type="dxa"/>
          <w:bottom w:w="57" w:type="dxa"/>
          <w:right w:w="57" w:type="dxa"/>
        </w:tblCellMar>
        <w:tblLook w:val="04A0" w:firstRow="1" w:lastRow="0" w:firstColumn="1" w:lastColumn="0" w:noHBand="0" w:noVBand="1"/>
      </w:tblPr>
      <w:tblGrid>
        <w:gridCol w:w="1511"/>
        <w:gridCol w:w="1410"/>
        <w:gridCol w:w="1559"/>
        <w:gridCol w:w="1752"/>
        <w:gridCol w:w="1286"/>
      </w:tblGrid>
      <w:tr w:rsidR="003F7102" w:rsidRPr="00B50598" w14:paraId="20A3B348" w14:textId="77777777" w:rsidTr="00F4591E">
        <w:trPr>
          <w:cantSplit/>
        </w:trPr>
        <w:tc>
          <w:tcPr>
            <w:tcW w:w="7518" w:type="dxa"/>
            <w:gridSpan w:val="5"/>
            <w:tcBorders>
              <w:bottom w:val="single" w:sz="4" w:space="0" w:color="auto"/>
            </w:tcBorders>
            <w:noWrap/>
            <w:tcMar>
              <w:top w:w="45" w:type="dxa"/>
              <w:bottom w:w="45" w:type="dxa"/>
            </w:tcMar>
            <w:vAlign w:val="center"/>
          </w:tcPr>
          <w:p w14:paraId="60AE7AA3" w14:textId="77777777" w:rsidR="003F7102" w:rsidRPr="00B50598" w:rsidRDefault="003F7102" w:rsidP="00F4591E">
            <w:pPr>
              <w:widowControl w:val="0"/>
              <w:overflowPunct w:val="0"/>
              <w:adjustRightInd w:val="0"/>
              <w:snapToGrid w:val="0"/>
              <w:spacing w:after="0" w:line="240" w:lineRule="auto"/>
              <w:rPr>
                <w:b/>
                <w:bCs/>
                <w:sz w:val="18"/>
                <w:szCs w:val="18"/>
              </w:rPr>
            </w:pPr>
            <w:r w:rsidRPr="00B50598">
              <w:rPr>
                <w:b/>
                <w:bCs/>
                <w:sz w:val="18"/>
                <w:szCs w:val="18"/>
              </w:rPr>
              <w:t>Long run Output: dependent variable (INQ)</w:t>
            </w:r>
          </w:p>
        </w:tc>
      </w:tr>
      <w:tr w:rsidR="003F7102" w:rsidRPr="00B50598" w14:paraId="1759E475" w14:textId="77777777" w:rsidTr="00F4591E">
        <w:trPr>
          <w:cantSplit/>
        </w:trPr>
        <w:tc>
          <w:tcPr>
            <w:tcW w:w="1511" w:type="dxa"/>
            <w:tcBorders>
              <w:top w:val="single" w:sz="4" w:space="0" w:color="auto"/>
              <w:bottom w:val="single" w:sz="4" w:space="0" w:color="auto"/>
            </w:tcBorders>
            <w:noWrap/>
            <w:tcMar>
              <w:top w:w="45" w:type="dxa"/>
              <w:bottom w:w="45" w:type="dxa"/>
            </w:tcMar>
            <w:vAlign w:val="center"/>
          </w:tcPr>
          <w:p w14:paraId="4321927E" w14:textId="77777777" w:rsidR="003F7102" w:rsidRPr="00B50598" w:rsidRDefault="003F7102" w:rsidP="00F4591E">
            <w:pPr>
              <w:widowControl w:val="0"/>
              <w:overflowPunct w:val="0"/>
              <w:adjustRightInd w:val="0"/>
              <w:snapToGrid w:val="0"/>
              <w:spacing w:after="0" w:line="240" w:lineRule="auto"/>
              <w:rPr>
                <w:b/>
                <w:bCs/>
                <w:sz w:val="18"/>
                <w:szCs w:val="18"/>
              </w:rPr>
            </w:pPr>
            <w:r w:rsidRPr="00B50598">
              <w:rPr>
                <w:b/>
                <w:bCs/>
                <w:sz w:val="18"/>
                <w:szCs w:val="18"/>
              </w:rPr>
              <w:t>Variables</w:t>
            </w:r>
          </w:p>
        </w:tc>
        <w:tc>
          <w:tcPr>
            <w:tcW w:w="1410" w:type="dxa"/>
            <w:tcBorders>
              <w:top w:val="single" w:sz="4" w:space="0" w:color="auto"/>
              <w:bottom w:val="single" w:sz="4" w:space="0" w:color="auto"/>
            </w:tcBorders>
            <w:noWrap/>
            <w:tcMar>
              <w:top w:w="45" w:type="dxa"/>
              <w:bottom w:w="45" w:type="dxa"/>
            </w:tcMar>
            <w:vAlign w:val="center"/>
          </w:tcPr>
          <w:p w14:paraId="79FDD498" w14:textId="77777777" w:rsidR="003F7102" w:rsidRPr="00B50598" w:rsidRDefault="003F7102" w:rsidP="00F4591E">
            <w:pPr>
              <w:widowControl w:val="0"/>
              <w:overflowPunct w:val="0"/>
              <w:adjustRightInd w:val="0"/>
              <w:snapToGrid w:val="0"/>
              <w:spacing w:after="0" w:line="240" w:lineRule="auto"/>
              <w:rPr>
                <w:b/>
                <w:bCs/>
                <w:sz w:val="18"/>
                <w:szCs w:val="18"/>
              </w:rPr>
            </w:pPr>
            <w:r w:rsidRPr="00B50598">
              <w:rPr>
                <w:b/>
                <w:bCs/>
                <w:sz w:val="18"/>
                <w:szCs w:val="18"/>
              </w:rPr>
              <w:t>Coefficient</w:t>
            </w:r>
          </w:p>
        </w:tc>
        <w:tc>
          <w:tcPr>
            <w:tcW w:w="1559" w:type="dxa"/>
            <w:tcBorders>
              <w:top w:val="single" w:sz="4" w:space="0" w:color="auto"/>
              <w:bottom w:val="single" w:sz="4" w:space="0" w:color="auto"/>
            </w:tcBorders>
            <w:noWrap/>
            <w:tcMar>
              <w:top w:w="45" w:type="dxa"/>
              <w:bottom w:w="45" w:type="dxa"/>
            </w:tcMar>
            <w:vAlign w:val="center"/>
          </w:tcPr>
          <w:p w14:paraId="19D1CFD8" w14:textId="77777777" w:rsidR="003F7102" w:rsidRPr="00B50598" w:rsidRDefault="003F7102" w:rsidP="00F4591E">
            <w:pPr>
              <w:widowControl w:val="0"/>
              <w:overflowPunct w:val="0"/>
              <w:adjustRightInd w:val="0"/>
              <w:snapToGrid w:val="0"/>
              <w:spacing w:after="0" w:line="240" w:lineRule="auto"/>
              <w:rPr>
                <w:b/>
                <w:bCs/>
                <w:sz w:val="18"/>
                <w:szCs w:val="18"/>
              </w:rPr>
            </w:pPr>
            <w:r w:rsidRPr="00B50598">
              <w:rPr>
                <w:b/>
                <w:bCs/>
                <w:sz w:val="18"/>
                <w:szCs w:val="18"/>
              </w:rPr>
              <w:t>Std. Error</w:t>
            </w:r>
          </w:p>
        </w:tc>
        <w:tc>
          <w:tcPr>
            <w:tcW w:w="1752" w:type="dxa"/>
            <w:tcBorders>
              <w:top w:val="single" w:sz="4" w:space="0" w:color="auto"/>
              <w:bottom w:val="single" w:sz="4" w:space="0" w:color="auto"/>
            </w:tcBorders>
            <w:noWrap/>
            <w:tcMar>
              <w:top w:w="45" w:type="dxa"/>
              <w:bottom w:w="45" w:type="dxa"/>
            </w:tcMar>
            <w:vAlign w:val="center"/>
          </w:tcPr>
          <w:p w14:paraId="211F586E" w14:textId="77777777" w:rsidR="003F7102" w:rsidRPr="00B50598" w:rsidRDefault="003F7102" w:rsidP="00F4591E">
            <w:pPr>
              <w:widowControl w:val="0"/>
              <w:overflowPunct w:val="0"/>
              <w:adjustRightInd w:val="0"/>
              <w:snapToGrid w:val="0"/>
              <w:spacing w:after="0" w:line="240" w:lineRule="auto"/>
              <w:rPr>
                <w:b/>
                <w:bCs/>
                <w:sz w:val="18"/>
                <w:szCs w:val="18"/>
              </w:rPr>
            </w:pPr>
            <w:r w:rsidRPr="00B50598">
              <w:rPr>
                <w:b/>
                <w:bCs/>
                <w:i/>
                <w:iCs/>
                <w:sz w:val="18"/>
                <w:szCs w:val="18"/>
              </w:rPr>
              <w:t>t</w:t>
            </w:r>
            <w:r w:rsidRPr="00B50598">
              <w:rPr>
                <w:b/>
                <w:bCs/>
                <w:sz w:val="18"/>
                <w:szCs w:val="18"/>
              </w:rPr>
              <w:t>-statistics</w:t>
            </w:r>
          </w:p>
        </w:tc>
        <w:tc>
          <w:tcPr>
            <w:tcW w:w="1286" w:type="dxa"/>
            <w:tcBorders>
              <w:top w:val="single" w:sz="4" w:space="0" w:color="auto"/>
              <w:bottom w:val="single" w:sz="4" w:space="0" w:color="auto"/>
            </w:tcBorders>
            <w:noWrap/>
            <w:tcMar>
              <w:top w:w="45" w:type="dxa"/>
              <w:bottom w:w="45" w:type="dxa"/>
            </w:tcMar>
            <w:vAlign w:val="center"/>
          </w:tcPr>
          <w:p w14:paraId="4A9027F6" w14:textId="77777777" w:rsidR="003F7102" w:rsidRPr="00B50598" w:rsidRDefault="003F7102" w:rsidP="00F4591E">
            <w:pPr>
              <w:widowControl w:val="0"/>
              <w:overflowPunct w:val="0"/>
              <w:adjustRightInd w:val="0"/>
              <w:snapToGrid w:val="0"/>
              <w:spacing w:after="0" w:line="240" w:lineRule="auto"/>
              <w:rPr>
                <w:b/>
                <w:bCs/>
                <w:sz w:val="18"/>
                <w:szCs w:val="18"/>
              </w:rPr>
            </w:pPr>
            <w:r w:rsidRPr="00B50598">
              <w:rPr>
                <w:b/>
                <w:bCs/>
                <w:sz w:val="18"/>
                <w:szCs w:val="18"/>
              </w:rPr>
              <w:t>Prob.</w:t>
            </w:r>
          </w:p>
        </w:tc>
      </w:tr>
      <w:tr w:rsidR="009966AD" w:rsidRPr="00B50598" w14:paraId="6D79CADD" w14:textId="77777777" w:rsidTr="003F7102">
        <w:trPr>
          <w:cantSplit/>
        </w:trPr>
        <w:tc>
          <w:tcPr>
            <w:tcW w:w="1511" w:type="dxa"/>
            <w:tcBorders>
              <w:top w:val="single" w:sz="4" w:space="0" w:color="auto"/>
              <w:bottom w:val="nil"/>
            </w:tcBorders>
            <w:noWrap/>
            <w:tcMar>
              <w:top w:w="45" w:type="dxa"/>
              <w:bottom w:w="45" w:type="dxa"/>
            </w:tcMar>
            <w:vAlign w:val="center"/>
          </w:tcPr>
          <w:p w14:paraId="761DB1AA" w14:textId="77777777" w:rsidR="00BF0F78" w:rsidRPr="00B50598" w:rsidRDefault="00000000">
            <w:pPr>
              <w:widowControl w:val="0"/>
              <w:overflowPunct w:val="0"/>
              <w:adjustRightInd w:val="0"/>
              <w:snapToGrid w:val="0"/>
              <w:spacing w:after="0" w:line="240" w:lineRule="auto"/>
              <w:rPr>
                <w:sz w:val="18"/>
                <w:szCs w:val="18"/>
              </w:rPr>
            </w:pPr>
            <w:r w:rsidRPr="00B50598">
              <w:rPr>
                <w:sz w:val="18"/>
                <w:szCs w:val="18"/>
              </w:rPr>
              <w:t>Diagnostic test</w:t>
            </w:r>
          </w:p>
        </w:tc>
        <w:tc>
          <w:tcPr>
            <w:tcW w:w="1410" w:type="dxa"/>
            <w:tcBorders>
              <w:top w:val="single" w:sz="4" w:space="0" w:color="auto"/>
              <w:bottom w:val="nil"/>
            </w:tcBorders>
            <w:noWrap/>
            <w:tcMar>
              <w:top w:w="45" w:type="dxa"/>
              <w:bottom w:w="45" w:type="dxa"/>
            </w:tcMar>
            <w:vAlign w:val="center"/>
          </w:tcPr>
          <w:p w14:paraId="6C35C3F6" w14:textId="77777777" w:rsidR="00BF0F78" w:rsidRPr="00B50598" w:rsidRDefault="00BF0F78">
            <w:pPr>
              <w:widowControl w:val="0"/>
              <w:overflowPunct w:val="0"/>
              <w:adjustRightInd w:val="0"/>
              <w:snapToGrid w:val="0"/>
              <w:spacing w:after="0" w:line="240" w:lineRule="auto"/>
              <w:rPr>
                <w:sz w:val="18"/>
                <w:szCs w:val="18"/>
              </w:rPr>
            </w:pPr>
          </w:p>
        </w:tc>
        <w:tc>
          <w:tcPr>
            <w:tcW w:w="1559" w:type="dxa"/>
            <w:tcBorders>
              <w:top w:val="single" w:sz="4" w:space="0" w:color="auto"/>
              <w:bottom w:val="nil"/>
            </w:tcBorders>
            <w:noWrap/>
            <w:tcMar>
              <w:top w:w="45" w:type="dxa"/>
              <w:bottom w:w="45" w:type="dxa"/>
            </w:tcMar>
            <w:vAlign w:val="center"/>
          </w:tcPr>
          <w:p w14:paraId="65ABA249" w14:textId="77777777" w:rsidR="00BF0F78" w:rsidRPr="00B50598" w:rsidRDefault="00BF0F78">
            <w:pPr>
              <w:widowControl w:val="0"/>
              <w:overflowPunct w:val="0"/>
              <w:adjustRightInd w:val="0"/>
              <w:snapToGrid w:val="0"/>
              <w:spacing w:after="0" w:line="240" w:lineRule="auto"/>
              <w:rPr>
                <w:sz w:val="18"/>
                <w:szCs w:val="18"/>
              </w:rPr>
            </w:pPr>
          </w:p>
        </w:tc>
        <w:tc>
          <w:tcPr>
            <w:tcW w:w="1752" w:type="dxa"/>
            <w:tcBorders>
              <w:top w:val="single" w:sz="4" w:space="0" w:color="auto"/>
              <w:bottom w:val="nil"/>
            </w:tcBorders>
            <w:noWrap/>
            <w:tcMar>
              <w:top w:w="45" w:type="dxa"/>
              <w:bottom w:w="45" w:type="dxa"/>
            </w:tcMar>
            <w:vAlign w:val="center"/>
          </w:tcPr>
          <w:p w14:paraId="047DB658" w14:textId="77777777" w:rsidR="00BF0F78" w:rsidRPr="00B50598" w:rsidRDefault="00BF0F78">
            <w:pPr>
              <w:widowControl w:val="0"/>
              <w:overflowPunct w:val="0"/>
              <w:adjustRightInd w:val="0"/>
              <w:snapToGrid w:val="0"/>
              <w:spacing w:after="0" w:line="240" w:lineRule="auto"/>
              <w:rPr>
                <w:sz w:val="18"/>
                <w:szCs w:val="18"/>
              </w:rPr>
            </w:pPr>
          </w:p>
        </w:tc>
        <w:tc>
          <w:tcPr>
            <w:tcW w:w="1286" w:type="dxa"/>
            <w:tcBorders>
              <w:top w:val="single" w:sz="4" w:space="0" w:color="auto"/>
              <w:bottom w:val="nil"/>
            </w:tcBorders>
            <w:noWrap/>
            <w:tcMar>
              <w:top w:w="45" w:type="dxa"/>
              <w:bottom w:w="45" w:type="dxa"/>
            </w:tcMar>
            <w:vAlign w:val="center"/>
          </w:tcPr>
          <w:p w14:paraId="65C9100E" w14:textId="77777777" w:rsidR="00BF0F78" w:rsidRPr="00B50598" w:rsidRDefault="00BF0F78">
            <w:pPr>
              <w:widowControl w:val="0"/>
              <w:overflowPunct w:val="0"/>
              <w:adjustRightInd w:val="0"/>
              <w:snapToGrid w:val="0"/>
              <w:spacing w:after="0" w:line="240" w:lineRule="auto"/>
              <w:rPr>
                <w:sz w:val="18"/>
                <w:szCs w:val="18"/>
              </w:rPr>
            </w:pPr>
          </w:p>
        </w:tc>
      </w:tr>
      <w:tr w:rsidR="009966AD" w:rsidRPr="00B50598" w14:paraId="661C81F7" w14:textId="77777777" w:rsidTr="003F7102">
        <w:trPr>
          <w:cantSplit/>
        </w:trPr>
        <w:tc>
          <w:tcPr>
            <w:tcW w:w="1511" w:type="dxa"/>
            <w:tcBorders>
              <w:top w:val="nil"/>
            </w:tcBorders>
            <w:noWrap/>
            <w:tcMar>
              <w:top w:w="45" w:type="dxa"/>
              <w:bottom w:w="45" w:type="dxa"/>
            </w:tcMar>
            <w:vAlign w:val="center"/>
          </w:tcPr>
          <w:p w14:paraId="7468820F" w14:textId="77777777" w:rsidR="00BF0F78" w:rsidRPr="00B50598" w:rsidRDefault="00000000">
            <w:pPr>
              <w:widowControl w:val="0"/>
              <w:overflowPunct w:val="0"/>
              <w:adjustRightInd w:val="0"/>
              <w:snapToGrid w:val="0"/>
              <w:spacing w:after="0" w:line="240" w:lineRule="auto"/>
              <w:rPr>
                <w:sz w:val="18"/>
                <w:szCs w:val="18"/>
              </w:rPr>
            </w:pPr>
            <w:r w:rsidRPr="00B50598">
              <w:rPr>
                <w:sz w:val="18"/>
                <w:szCs w:val="18"/>
              </w:rPr>
              <w:t>Normality</w:t>
            </w:r>
          </w:p>
        </w:tc>
        <w:tc>
          <w:tcPr>
            <w:tcW w:w="1410" w:type="dxa"/>
            <w:tcBorders>
              <w:top w:val="nil"/>
            </w:tcBorders>
            <w:noWrap/>
            <w:tcMar>
              <w:top w:w="45" w:type="dxa"/>
              <w:bottom w:w="45" w:type="dxa"/>
            </w:tcMar>
            <w:vAlign w:val="center"/>
          </w:tcPr>
          <w:p w14:paraId="68526A5D" w14:textId="77777777" w:rsidR="00BF0F78" w:rsidRPr="00B50598" w:rsidRDefault="00000000">
            <w:pPr>
              <w:widowControl w:val="0"/>
              <w:overflowPunct w:val="0"/>
              <w:adjustRightInd w:val="0"/>
              <w:snapToGrid w:val="0"/>
              <w:spacing w:after="0" w:line="240" w:lineRule="auto"/>
              <w:rPr>
                <w:sz w:val="18"/>
                <w:szCs w:val="18"/>
              </w:rPr>
            </w:pPr>
            <w:r w:rsidRPr="00B50598">
              <w:rPr>
                <w:sz w:val="18"/>
                <w:szCs w:val="18"/>
              </w:rPr>
              <w:t>4.735</w:t>
            </w:r>
          </w:p>
        </w:tc>
        <w:tc>
          <w:tcPr>
            <w:tcW w:w="1559" w:type="dxa"/>
            <w:tcBorders>
              <w:top w:val="nil"/>
            </w:tcBorders>
            <w:noWrap/>
            <w:tcMar>
              <w:top w:w="45" w:type="dxa"/>
              <w:bottom w:w="45" w:type="dxa"/>
            </w:tcMar>
            <w:vAlign w:val="center"/>
          </w:tcPr>
          <w:p w14:paraId="3CC767CC" w14:textId="77777777" w:rsidR="00BF0F78" w:rsidRPr="00B50598" w:rsidRDefault="00BF0F78">
            <w:pPr>
              <w:widowControl w:val="0"/>
              <w:overflowPunct w:val="0"/>
              <w:adjustRightInd w:val="0"/>
              <w:snapToGrid w:val="0"/>
              <w:spacing w:after="0" w:line="240" w:lineRule="auto"/>
              <w:rPr>
                <w:sz w:val="18"/>
                <w:szCs w:val="18"/>
              </w:rPr>
            </w:pPr>
          </w:p>
        </w:tc>
        <w:tc>
          <w:tcPr>
            <w:tcW w:w="1752" w:type="dxa"/>
            <w:tcBorders>
              <w:top w:val="nil"/>
            </w:tcBorders>
            <w:noWrap/>
            <w:tcMar>
              <w:top w:w="45" w:type="dxa"/>
              <w:bottom w:w="45" w:type="dxa"/>
            </w:tcMar>
            <w:vAlign w:val="center"/>
          </w:tcPr>
          <w:p w14:paraId="48E5DA2C" w14:textId="77777777" w:rsidR="00BF0F78" w:rsidRPr="00B50598" w:rsidRDefault="00000000">
            <w:pPr>
              <w:widowControl w:val="0"/>
              <w:overflowPunct w:val="0"/>
              <w:adjustRightInd w:val="0"/>
              <w:snapToGrid w:val="0"/>
              <w:spacing w:after="0" w:line="240" w:lineRule="auto"/>
              <w:rPr>
                <w:sz w:val="18"/>
                <w:szCs w:val="18"/>
              </w:rPr>
            </w:pPr>
            <m:oMathPara>
              <m:oMathParaPr>
                <m:jc m:val="left"/>
              </m:oMathParaPr>
              <m:oMath>
                <m:sSup>
                  <m:sSupPr>
                    <m:ctrlPr>
                      <w:rPr>
                        <w:rFonts w:ascii="Cambria Math" w:hAnsi="Cambria Math"/>
                        <w:sz w:val="18"/>
                        <w:szCs w:val="18"/>
                      </w:rPr>
                    </m:ctrlPr>
                  </m:sSupPr>
                  <m:e>
                    <m:r>
                      <w:rPr>
                        <w:rFonts w:ascii="Cambria Math" w:hAnsi="Cambria Math"/>
                        <w:sz w:val="18"/>
                        <w:szCs w:val="18"/>
                      </w:rPr>
                      <m:t>R</m:t>
                    </m:r>
                  </m:e>
                  <m:sup>
                    <m:r>
                      <w:rPr>
                        <w:rFonts w:ascii="Cambria Math" w:hAnsi="Cambria Math"/>
                        <w:sz w:val="18"/>
                        <w:szCs w:val="18"/>
                      </w:rPr>
                      <m:t>2</m:t>
                    </m:r>
                  </m:sup>
                </m:sSup>
              </m:oMath>
            </m:oMathPara>
          </w:p>
        </w:tc>
        <w:tc>
          <w:tcPr>
            <w:tcW w:w="1286" w:type="dxa"/>
            <w:tcBorders>
              <w:top w:val="nil"/>
            </w:tcBorders>
            <w:noWrap/>
            <w:tcMar>
              <w:top w:w="45" w:type="dxa"/>
              <w:bottom w:w="45" w:type="dxa"/>
            </w:tcMar>
            <w:vAlign w:val="center"/>
          </w:tcPr>
          <w:p w14:paraId="34EF9464" w14:textId="77777777" w:rsidR="00BF0F78" w:rsidRPr="00B50598" w:rsidRDefault="00000000">
            <w:pPr>
              <w:widowControl w:val="0"/>
              <w:overflowPunct w:val="0"/>
              <w:adjustRightInd w:val="0"/>
              <w:snapToGrid w:val="0"/>
              <w:spacing w:after="0" w:line="240" w:lineRule="auto"/>
              <w:rPr>
                <w:sz w:val="18"/>
                <w:szCs w:val="18"/>
              </w:rPr>
            </w:pPr>
            <w:r w:rsidRPr="00B50598">
              <w:rPr>
                <w:sz w:val="18"/>
                <w:szCs w:val="18"/>
              </w:rPr>
              <w:t>0.64</w:t>
            </w:r>
          </w:p>
        </w:tc>
      </w:tr>
      <w:tr w:rsidR="009966AD" w:rsidRPr="00B50598" w14:paraId="79A234F5" w14:textId="77777777" w:rsidTr="003F7102">
        <w:trPr>
          <w:cantSplit/>
        </w:trPr>
        <w:tc>
          <w:tcPr>
            <w:tcW w:w="1511" w:type="dxa"/>
            <w:noWrap/>
            <w:tcMar>
              <w:top w:w="45" w:type="dxa"/>
              <w:bottom w:w="45" w:type="dxa"/>
            </w:tcMar>
            <w:vAlign w:val="center"/>
          </w:tcPr>
          <w:p w14:paraId="6EB2BF10" w14:textId="77777777" w:rsidR="00BF0F78" w:rsidRPr="00B50598" w:rsidRDefault="00000000">
            <w:pPr>
              <w:widowControl w:val="0"/>
              <w:overflowPunct w:val="0"/>
              <w:adjustRightInd w:val="0"/>
              <w:snapToGrid w:val="0"/>
              <w:spacing w:after="0" w:line="240" w:lineRule="auto"/>
              <w:rPr>
                <w:sz w:val="18"/>
                <w:szCs w:val="18"/>
              </w:rPr>
            </w:pPr>
            <w:r w:rsidRPr="00B50598">
              <w:rPr>
                <w:sz w:val="18"/>
                <w:szCs w:val="18"/>
              </w:rPr>
              <w:t>Serial-correlation</w:t>
            </w:r>
          </w:p>
        </w:tc>
        <w:tc>
          <w:tcPr>
            <w:tcW w:w="1410" w:type="dxa"/>
            <w:noWrap/>
            <w:tcMar>
              <w:top w:w="45" w:type="dxa"/>
              <w:bottom w:w="45" w:type="dxa"/>
            </w:tcMar>
            <w:vAlign w:val="center"/>
          </w:tcPr>
          <w:p w14:paraId="5A58BCF3" w14:textId="77777777" w:rsidR="00BF0F78" w:rsidRPr="00B50598" w:rsidRDefault="00000000">
            <w:pPr>
              <w:widowControl w:val="0"/>
              <w:overflowPunct w:val="0"/>
              <w:adjustRightInd w:val="0"/>
              <w:snapToGrid w:val="0"/>
              <w:spacing w:after="0" w:line="240" w:lineRule="auto"/>
              <w:rPr>
                <w:sz w:val="18"/>
                <w:szCs w:val="18"/>
              </w:rPr>
            </w:pPr>
            <w:r w:rsidRPr="00B50598">
              <w:rPr>
                <w:sz w:val="18"/>
                <w:szCs w:val="18"/>
              </w:rPr>
              <w:t>4.811</w:t>
            </w:r>
          </w:p>
        </w:tc>
        <w:tc>
          <w:tcPr>
            <w:tcW w:w="1559" w:type="dxa"/>
            <w:noWrap/>
            <w:tcMar>
              <w:top w:w="45" w:type="dxa"/>
              <w:bottom w:w="45" w:type="dxa"/>
            </w:tcMar>
            <w:vAlign w:val="center"/>
          </w:tcPr>
          <w:p w14:paraId="1955A519" w14:textId="77777777" w:rsidR="00BF0F78" w:rsidRPr="00B50598" w:rsidRDefault="00BF0F78">
            <w:pPr>
              <w:widowControl w:val="0"/>
              <w:overflowPunct w:val="0"/>
              <w:adjustRightInd w:val="0"/>
              <w:snapToGrid w:val="0"/>
              <w:spacing w:after="0" w:line="240" w:lineRule="auto"/>
              <w:rPr>
                <w:sz w:val="18"/>
                <w:szCs w:val="18"/>
              </w:rPr>
            </w:pPr>
          </w:p>
        </w:tc>
        <w:tc>
          <w:tcPr>
            <w:tcW w:w="1752" w:type="dxa"/>
            <w:noWrap/>
            <w:tcMar>
              <w:top w:w="45" w:type="dxa"/>
              <w:bottom w:w="45" w:type="dxa"/>
            </w:tcMar>
            <w:vAlign w:val="center"/>
          </w:tcPr>
          <w:p w14:paraId="05AB7C5D" w14:textId="77777777" w:rsidR="00BF0F78" w:rsidRPr="00B50598" w:rsidRDefault="00000000">
            <w:pPr>
              <w:widowControl w:val="0"/>
              <w:overflowPunct w:val="0"/>
              <w:adjustRightInd w:val="0"/>
              <w:snapToGrid w:val="0"/>
              <w:spacing w:after="0" w:line="240" w:lineRule="auto"/>
              <w:rPr>
                <w:sz w:val="18"/>
                <w:szCs w:val="18"/>
              </w:rPr>
            </w:pPr>
            <m:oMathPara>
              <m:oMathParaPr>
                <m:jc m:val="left"/>
              </m:oMathParaPr>
              <m:oMath>
                <m:sSup>
                  <m:sSupPr>
                    <m:ctrlPr>
                      <w:rPr>
                        <w:rFonts w:ascii="Cambria Math" w:hAnsi="Cambria Math"/>
                        <w:sz w:val="18"/>
                        <w:szCs w:val="18"/>
                      </w:rPr>
                    </m:ctrlPr>
                  </m:sSupPr>
                  <m:e>
                    <m:r>
                      <w:rPr>
                        <w:rFonts w:ascii="Cambria Math" w:hAnsi="Cambria Math"/>
                        <w:sz w:val="18"/>
                        <w:szCs w:val="18"/>
                      </w:rPr>
                      <m:t>Adj.R</m:t>
                    </m:r>
                  </m:e>
                  <m:sup>
                    <m:r>
                      <w:rPr>
                        <w:rFonts w:ascii="Cambria Math" w:hAnsi="Cambria Math"/>
                        <w:sz w:val="18"/>
                        <w:szCs w:val="18"/>
                      </w:rPr>
                      <m:t>2</m:t>
                    </m:r>
                  </m:sup>
                </m:sSup>
              </m:oMath>
            </m:oMathPara>
          </w:p>
        </w:tc>
        <w:tc>
          <w:tcPr>
            <w:tcW w:w="1286" w:type="dxa"/>
            <w:noWrap/>
            <w:tcMar>
              <w:top w:w="45" w:type="dxa"/>
              <w:bottom w:w="45" w:type="dxa"/>
            </w:tcMar>
            <w:vAlign w:val="center"/>
          </w:tcPr>
          <w:p w14:paraId="1ECEABD1" w14:textId="77777777" w:rsidR="00BF0F78" w:rsidRPr="00B50598" w:rsidRDefault="00000000">
            <w:pPr>
              <w:widowControl w:val="0"/>
              <w:overflowPunct w:val="0"/>
              <w:adjustRightInd w:val="0"/>
              <w:snapToGrid w:val="0"/>
              <w:spacing w:after="0" w:line="240" w:lineRule="auto"/>
              <w:rPr>
                <w:sz w:val="18"/>
                <w:szCs w:val="18"/>
              </w:rPr>
            </w:pPr>
            <w:r w:rsidRPr="00B50598">
              <w:rPr>
                <w:sz w:val="18"/>
                <w:szCs w:val="18"/>
              </w:rPr>
              <w:t>0.59</w:t>
            </w:r>
          </w:p>
        </w:tc>
      </w:tr>
      <w:tr w:rsidR="009966AD" w:rsidRPr="00B50598" w14:paraId="0F49FFD0" w14:textId="77777777" w:rsidTr="003F7102">
        <w:trPr>
          <w:cantSplit/>
        </w:trPr>
        <w:tc>
          <w:tcPr>
            <w:tcW w:w="1511" w:type="dxa"/>
            <w:noWrap/>
            <w:tcMar>
              <w:top w:w="45" w:type="dxa"/>
              <w:bottom w:w="45" w:type="dxa"/>
            </w:tcMar>
            <w:vAlign w:val="center"/>
          </w:tcPr>
          <w:p w14:paraId="5ED69882" w14:textId="77777777" w:rsidR="00BF0F78" w:rsidRPr="00B50598" w:rsidRDefault="00000000">
            <w:pPr>
              <w:widowControl w:val="0"/>
              <w:overflowPunct w:val="0"/>
              <w:adjustRightInd w:val="0"/>
              <w:snapToGrid w:val="0"/>
              <w:spacing w:after="0" w:line="240" w:lineRule="auto"/>
              <w:rPr>
                <w:sz w:val="18"/>
                <w:szCs w:val="18"/>
              </w:rPr>
            </w:pPr>
            <w:r w:rsidRPr="00B50598">
              <w:rPr>
                <w:sz w:val="18"/>
                <w:szCs w:val="18"/>
              </w:rPr>
              <w:t>Heteroscedasticity</w:t>
            </w:r>
          </w:p>
        </w:tc>
        <w:tc>
          <w:tcPr>
            <w:tcW w:w="1410" w:type="dxa"/>
            <w:noWrap/>
            <w:tcMar>
              <w:top w:w="45" w:type="dxa"/>
              <w:bottom w:w="45" w:type="dxa"/>
            </w:tcMar>
            <w:vAlign w:val="center"/>
          </w:tcPr>
          <w:p w14:paraId="69A596A7" w14:textId="77777777" w:rsidR="00BF0F78" w:rsidRPr="00B50598" w:rsidRDefault="00000000">
            <w:pPr>
              <w:widowControl w:val="0"/>
              <w:overflowPunct w:val="0"/>
              <w:adjustRightInd w:val="0"/>
              <w:snapToGrid w:val="0"/>
              <w:spacing w:after="0" w:line="240" w:lineRule="auto"/>
              <w:rPr>
                <w:sz w:val="18"/>
                <w:szCs w:val="18"/>
              </w:rPr>
            </w:pPr>
            <w:r w:rsidRPr="00B50598">
              <w:rPr>
                <w:sz w:val="18"/>
                <w:szCs w:val="18"/>
              </w:rPr>
              <w:t>11.304</w:t>
            </w:r>
          </w:p>
        </w:tc>
        <w:tc>
          <w:tcPr>
            <w:tcW w:w="1559" w:type="dxa"/>
            <w:noWrap/>
            <w:tcMar>
              <w:top w:w="45" w:type="dxa"/>
              <w:bottom w:w="45" w:type="dxa"/>
            </w:tcMar>
            <w:vAlign w:val="center"/>
          </w:tcPr>
          <w:p w14:paraId="1091864C" w14:textId="77777777" w:rsidR="00BF0F78" w:rsidRPr="00B50598" w:rsidRDefault="00BF0F78">
            <w:pPr>
              <w:widowControl w:val="0"/>
              <w:overflowPunct w:val="0"/>
              <w:adjustRightInd w:val="0"/>
              <w:snapToGrid w:val="0"/>
              <w:spacing w:after="0" w:line="240" w:lineRule="auto"/>
              <w:rPr>
                <w:sz w:val="18"/>
                <w:szCs w:val="18"/>
              </w:rPr>
            </w:pPr>
          </w:p>
        </w:tc>
        <w:tc>
          <w:tcPr>
            <w:tcW w:w="1752" w:type="dxa"/>
            <w:noWrap/>
            <w:tcMar>
              <w:top w:w="45" w:type="dxa"/>
              <w:bottom w:w="45" w:type="dxa"/>
            </w:tcMar>
            <w:vAlign w:val="center"/>
          </w:tcPr>
          <w:p w14:paraId="39D9CE3A" w14:textId="77777777" w:rsidR="00BF0F78" w:rsidRPr="00B50598" w:rsidRDefault="00BF0F78">
            <w:pPr>
              <w:widowControl w:val="0"/>
              <w:overflowPunct w:val="0"/>
              <w:adjustRightInd w:val="0"/>
              <w:snapToGrid w:val="0"/>
              <w:spacing w:after="0" w:line="240" w:lineRule="auto"/>
              <w:rPr>
                <w:sz w:val="18"/>
                <w:szCs w:val="18"/>
              </w:rPr>
            </w:pPr>
          </w:p>
        </w:tc>
        <w:tc>
          <w:tcPr>
            <w:tcW w:w="1286" w:type="dxa"/>
            <w:noWrap/>
            <w:tcMar>
              <w:top w:w="45" w:type="dxa"/>
              <w:bottom w:w="45" w:type="dxa"/>
            </w:tcMar>
            <w:vAlign w:val="center"/>
          </w:tcPr>
          <w:p w14:paraId="73C95EE2" w14:textId="77777777" w:rsidR="00BF0F78" w:rsidRPr="00B50598" w:rsidRDefault="00BF0F78">
            <w:pPr>
              <w:widowControl w:val="0"/>
              <w:overflowPunct w:val="0"/>
              <w:adjustRightInd w:val="0"/>
              <w:snapToGrid w:val="0"/>
              <w:spacing w:after="0" w:line="240" w:lineRule="auto"/>
              <w:rPr>
                <w:sz w:val="18"/>
                <w:szCs w:val="18"/>
              </w:rPr>
            </w:pPr>
          </w:p>
        </w:tc>
      </w:tr>
    </w:tbl>
    <w:p w14:paraId="5FD3928C" w14:textId="77777777" w:rsidR="00BF0F78" w:rsidRPr="009B1BB3" w:rsidRDefault="00000000">
      <w:pPr>
        <w:widowControl w:val="0"/>
        <w:overflowPunct w:val="0"/>
        <w:adjustRightInd w:val="0"/>
        <w:snapToGrid w:val="0"/>
        <w:spacing w:after="240" w:line="240" w:lineRule="auto"/>
        <w:ind w:left="2948"/>
        <w:rPr>
          <w:sz w:val="18"/>
        </w:rPr>
      </w:pPr>
      <w:r w:rsidRPr="009B1BB3">
        <w:rPr>
          <w:sz w:val="18"/>
        </w:rPr>
        <w:t>Source: authors’ estimated output.</w:t>
      </w:r>
    </w:p>
    <w:p w14:paraId="59D70A70" w14:textId="1C5F1979" w:rsidR="00BF0F78" w:rsidRPr="009B1BB3" w:rsidRDefault="001264ED" w:rsidP="001264ED">
      <w:pPr>
        <w:widowControl w:val="0"/>
        <w:overflowPunct w:val="0"/>
        <w:adjustRightInd w:val="0"/>
        <w:snapToGrid w:val="0"/>
        <w:spacing w:after="0" w:line="288" w:lineRule="auto"/>
        <w:ind w:left="2948" w:firstLine="442"/>
        <w:jc w:val="both"/>
        <w:rPr>
          <w:rFonts w:eastAsia="宋体" w:hint="eastAsia"/>
          <w:szCs w:val="22"/>
          <w:lang w:eastAsia="zh-CN"/>
        </w:rPr>
      </w:pPr>
      <w:r w:rsidRPr="001264ED">
        <w:rPr>
          <w:rFonts w:eastAsia="宋体"/>
          <w:szCs w:val="22"/>
        </w:rPr>
        <w:t xml:space="preserve">The last rows in </w:t>
      </w:r>
      <w:r w:rsidRPr="001264ED">
        <w:rPr>
          <w:rFonts w:eastAsia="宋体"/>
          <w:b/>
          <w:bCs/>
          <w:szCs w:val="22"/>
        </w:rPr>
        <w:t>Tables 6</w:t>
      </w:r>
      <w:r w:rsidRPr="001264ED">
        <w:rPr>
          <w:rFonts w:eastAsia="宋体"/>
          <w:szCs w:val="22"/>
        </w:rPr>
        <w:t xml:space="preserve"> and </w:t>
      </w:r>
      <w:r w:rsidRPr="001264ED">
        <w:rPr>
          <w:rFonts w:eastAsia="宋体"/>
          <w:b/>
          <w:bCs/>
          <w:szCs w:val="22"/>
        </w:rPr>
        <w:t>7</w:t>
      </w:r>
      <w:r w:rsidRPr="001264ED">
        <w:rPr>
          <w:rFonts w:eastAsia="宋体"/>
          <w:szCs w:val="22"/>
        </w:rPr>
        <w:t xml:space="preserve"> are the diagnostic tests, including normality, serial correlation, and heteroscedasticity. These tests were conducted to ensure the validity and robustness of the study model’s estimates for policy formulation. Based on the outputs in </w:t>
      </w:r>
      <w:r w:rsidRPr="001264ED">
        <w:rPr>
          <w:rFonts w:eastAsia="宋体"/>
          <w:b/>
          <w:bCs/>
          <w:szCs w:val="22"/>
        </w:rPr>
        <w:t>Tables 6</w:t>
      </w:r>
      <w:r w:rsidRPr="001264ED">
        <w:rPr>
          <w:rFonts w:eastAsia="宋体"/>
          <w:szCs w:val="22"/>
        </w:rPr>
        <w:t xml:space="preserve"> and </w:t>
      </w:r>
      <w:r w:rsidRPr="001264ED">
        <w:rPr>
          <w:rFonts w:eastAsia="宋体"/>
          <w:b/>
          <w:bCs/>
          <w:szCs w:val="22"/>
        </w:rPr>
        <w:t>7</w:t>
      </w:r>
      <w:r w:rsidRPr="001264ED">
        <w:rPr>
          <w:rFonts w:eastAsia="宋体"/>
          <w:szCs w:val="22"/>
        </w:rPr>
        <w:t xml:space="preserve">, the study residuals are normally distributed and free from serial correlation and heteroscedasticity issues. Furthermore, stability tests were conducted on the model’s residuals. The essence of determining the stability of the ARDL model cannot be overemphasized because it aids in the assertion of the estimate’s reliability. Hence, the cumulative sum (CUSUM) and CUSUM of square plots are revealed in </w:t>
      </w:r>
      <w:r w:rsidRPr="001264ED">
        <w:rPr>
          <w:rFonts w:eastAsia="宋体"/>
          <w:b/>
          <w:bCs/>
          <w:szCs w:val="22"/>
        </w:rPr>
        <w:t>Figure 1</w:t>
      </w:r>
      <w:proofErr w:type="gramStart"/>
      <w:r w:rsidRPr="001264ED">
        <w:rPr>
          <w:rFonts w:eastAsia="宋体"/>
          <w:b/>
          <w:bCs/>
          <w:szCs w:val="22"/>
        </w:rPr>
        <w:t>a,b</w:t>
      </w:r>
      <w:proofErr w:type="gramEnd"/>
      <w:r w:rsidRPr="001264ED">
        <w:rPr>
          <w:rFonts w:eastAsia="宋体"/>
          <w:szCs w:val="22"/>
        </w:rPr>
        <w:t xml:space="preserve"> to be well within the critical bounds at a 5% level of statistical significance, thus justifying the ARDL estimate robustness and their reliability and consistency for policy recommendations.</w:t>
      </w:r>
    </w:p>
    <w:tbl>
      <w:tblPr>
        <w:tblStyle w:val="15"/>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5271"/>
        <w:gridCol w:w="5196"/>
      </w:tblGrid>
      <w:tr w:rsidR="009966AD" w:rsidRPr="009B1BB3" w14:paraId="4BA927F8" w14:textId="77777777">
        <w:trPr>
          <w:cantSplit/>
          <w:trHeight w:val="20"/>
          <w:jc w:val="center"/>
        </w:trPr>
        <w:tc>
          <w:tcPr>
            <w:tcW w:w="5342" w:type="dxa"/>
            <w:noWrap/>
            <w:vAlign w:val="center"/>
          </w:tcPr>
          <w:p w14:paraId="5D58AFA1" w14:textId="77777777" w:rsidR="00BF0F78" w:rsidRPr="009B1BB3" w:rsidRDefault="00000000">
            <w:pPr>
              <w:widowControl w:val="0"/>
              <w:overflowPunct w:val="0"/>
              <w:adjustRightInd w:val="0"/>
              <w:snapToGrid w:val="0"/>
              <w:spacing w:before="240" w:after="0" w:line="240" w:lineRule="auto"/>
              <w:jc w:val="center"/>
              <w:rPr>
                <w:rFonts w:eastAsiaTheme="minorHAnsi"/>
                <w:sz w:val="24"/>
                <w:szCs w:val="22"/>
              </w:rPr>
            </w:pPr>
            <w:r w:rsidRPr="009B1BB3">
              <w:rPr>
                <w:rFonts w:eastAsia="宋体"/>
                <w:noProof/>
                <w:szCs w:val="22"/>
                <w:lang w:eastAsia="en-GB"/>
              </w:rPr>
              <w:drawing>
                <wp:inline distT="0" distB="0" distL="0" distR="0" wp14:anchorId="577C21BD" wp14:editId="044A4577">
                  <wp:extent cx="2443277" cy="2005433"/>
                  <wp:effectExtent l="0" t="0" r="0" b="0"/>
                  <wp:docPr id="1027" name="Picture 1"/>
                  <wp:cNvGraphicFramePr/>
                  <a:graphic xmlns:a="http://schemas.openxmlformats.org/drawingml/2006/main">
                    <a:graphicData uri="http://schemas.openxmlformats.org/drawingml/2006/picture">
                      <pic:pic xmlns:pic="http://schemas.openxmlformats.org/drawingml/2006/picture">
                        <pic:nvPicPr>
                          <pic:cNvPr id="1027" name="Picture 1"/>
                          <pic:cNvPicPr/>
                        </pic:nvPicPr>
                        <pic:blipFill>
                          <a:blip r:embed="rId10" cstate="print"/>
                          <a:srcRect/>
                          <a:stretch>
                            <a:fillRect/>
                          </a:stretch>
                        </pic:blipFill>
                        <pic:spPr>
                          <a:xfrm>
                            <a:off x="0" y="0"/>
                            <a:ext cx="2452329" cy="2012863"/>
                          </a:xfrm>
                          <a:prstGeom prst="rect">
                            <a:avLst/>
                          </a:prstGeom>
                          <a:ln>
                            <a:noFill/>
                          </a:ln>
                        </pic:spPr>
                      </pic:pic>
                    </a:graphicData>
                  </a:graphic>
                </wp:inline>
              </w:drawing>
            </w:r>
          </w:p>
        </w:tc>
        <w:tc>
          <w:tcPr>
            <w:tcW w:w="5265" w:type="dxa"/>
            <w:noWrap/>
            <w:vAlign w:val="center"/>
          </w:tcPr>
          <w:p w14:paraId="2E569BF1" w14:textId="77777777" w:rsidR="00BF0F78" w:rsidRPr="009B1BB3" w:rsidRDefault="00000000">
            <w:pPr>
              <w:widowControl w:val="0"/>
              <w:overflowPunct w:val="0"/>
              <w:adjustRightInd w:val="0"/>
              <w:snapToGrid w:val="0"/>
              <w:spacing w:before="240" w:after="0" w:line="240" w:lineRule="auto"/>
              <w:jc w:val="center"/>
              <w:rPr>
                <w:rFonts w:eastAsiaTheme="minorHAnsi"/>
                <w:sz w:val="24"/>
                <w:szCs w:val="22"/>
              </w:rPr>
            </w:pPr>
            <w:r w:rsidRPr="009B1BB3">
              <w:rPr>
                <w:rFonts w:eastAsia="宋体"/>
                <w:noProof/>
                <w:szCs w:val="22"/>
                <w:lang w:eastAsia="en-GB"/>
              </w:rPr>
              <w:drawing>
                <wp:inline distT="0" distB="0" distL="0" distR="0" wp14:anchorId="094A86DB" wp14:editId="6934DEFA">
                  <wp:extent cx="2355495" cy="1982402"/>
                  <wp:effectExtent l="0" t="0" r="6985" b="0"/>
                  <wp:docPr id="1026" name="Picture 2"/>
                  <wp:cNvGraphicFramePr/>
                  <a:graphic xmlns:a="http://schemas.openxmlformats.org/drawingml/2006/main">
                    <a:graphicData uri="http://schemas.openxmlformats.org/drawingml/2006/picture">
                      <pic:pic xmlns:pic="http://schemas.openxmlformats.org/drawingml/2006/picture">
                        <pic:nvPicPr>
                          <pic:cNvPr id="1026" name="Picture 2"/>
                          <pic:cNvPicPr/>
                        </pic:nvPicPr>
                        <pic:blipFill>
                          <a:blip r:embed="rId11" cstate="print"/>
                          <a:srcRect/>
                          <a:stretch>
                            <a:fillRect/>
                          </a:stretch>
                        </pic:blipFill>
                        <pic:spPr>
                          <a:xfrm>
                            <a:off x="0" y="0"/>
                            <a:ext cx="2363948" cy="1989516"/>
                          </a:xfrm>
                          <a:prstGeom prst="rect">
                            <a:avLst/>
                          </a:prstGeom>
                          <a:ln>
                            <a:noFill/>
                          </a:ln>
                        </pic:spPr>
                      </pic:pic>
                    </a:graphicData>
                  </a:graphic>
                </wp:inline>
              </w:drawing>
            </w:r>
          </w:p>
        </w:tc>
      </w:tr>
      <w:tr w:rsidR="009966AD" w:rsidRPr="00DA1DFB" w14:paraId="08DE893C" w14:textId="77777777">
        <w:tblPrEx>
          <w:tblCellMar>
            <w:left w:w="108" w:type="dxa"/>
            <w:right w:w="108" w:type="dxa"/>
          </w:tblCellMar>
        </w:tblPrEx>
        <w:trPr>
          <w:cantSplit/>
          <w:trHeight w:val="20"/>
          <w:jc w:val="center"/>
        </w:trPr>
        <w:tc>
          <w:tcPr>
            <w:tcW w:w="10607" w:type="dxa"/>
            <w:gridSpan w:val="2"/>
            <w:noWrap/>
            <w:vAlign w:val="center"/>
          </w:tcPr>
          <w:p w14:paraId="4BA4B5C8" w14:textId="77777777" w:rsidR="00BF0F78" w:rsidRPr="00DA1DFB" w:rsidRDefault="00000000">
            <w:pPr>
              <w:widowControl w:val="0"/>
              <w:tabs>
                <w:tab w:val="left" w:pos="1055"/>
                <w:tab w:val="center" w:pos="2033"/>
              </w:tabs>
              <w:overflowPunct w:val="0"/>
              <w:adjustRightInd w:val="0"/>
              <w:snapToGrid w:val="0"/>
              <w:spacing w:after="0" w:line="240" w:lineRule="auto"/>
              <w:jc w:val="center"/>
              <w:rPr>
                <w:rFonts w:ascii="Times New Roman" w:eastAsiaTheme="minorHAnsi" w:hAnsi="Times New Roman" w:cs="Times New Roman"/>
                <w:b/>
                <w:szCs w:val="22"/>
              </w:rPr>
            </w:pPr>
            <w:r w:rsidRPr="00DA1DFB">
              <w:rPr>
                <w:rFonts w:ascii="Times New Roman" w:eastAsiaTheme="minorHAnsi" w:hAnsi="Times New Roman" w:cs="Times New Roman"/>
                <w:b/>
                <w:szCs w:val="22"/>
              </w:rPr>
              <w:t>(a)</w:t>
            </w:r>
          </w:p>
        </w:tc>
      </w:tr>
      <w:tr w:rsidR="009966AD" w:rsidRPr="009B1BB3" w14:paraId="7E8F354C" w14:textId="77777777">
        <w:tblPrEx>
          <w:tblCellMar>
            <w:left w:w="108" w:type="dxa"/>
            <w:right w:w="108" w:type="dxa"/>
          </w:tblCellMar>
        </w:tblPrEx>
        <w:trPr>
          <w:cantSplit/>
          <w:trHeight w:val="20"/>
          <w:jc w:val="center"/>
        </w:trPr>
        <w:tc>
          <w:tcPr>
            <w:tcW w:w="5342" w:type="dxa"/>
            <w:noWrap/>
            <w:vAlign w:val="center"/>
          </w:tcPr>
          <w:p w14:paraId="6D2D93A0" w14:textId="77777777" w:rsidR="00BF0F78" w:rsidRPr="009B1BB3" w:rsidRDefault="00000000">
            <w:pPr>
              <w:widowControl w:val="0"/>
              <w:tabs>
                <w:tab w:val="left" w:pos="1055"/>
                <w:tab w:val="center" w:pos="2033"/>
              </w:tabs>
              <w:overflowPunct w:val="0"/>
              <w:adjustRightInd w:val="0"/>
              <w:snapToGrid w:val="0"/>
              <w:spacing w:after="0" w:line="240" w:lineRule="auto"/>
              <w:jc w:val="center"/>
              <w:rPr>
                <w:rFonts w:eastAsiaTheme="minorHAnsi"/>
                <w:b/>
                <w:szCs w:val="22"/>
              </w:rPr>
            </w:pPr>
            <w:r w:rsidRPr="009B1BB3">
              <w:rPr>
                <w:rFonts w:eastAsia="宋体"/>
                <w:noProof/>
                <w:szCs w:val="22"/>
                <w:lang w:eastAsia="en-GB"/>
              </w:rPr>
              <w:drawing>
                <wp:inline distT="0" distB="0" distL="0" distR="0" wp14:anchorId="08FCF878" wp14:editId="0CE7DB75">
                  <wp:extent cx="2362378" cy="2130425"/>
                  <wp:effectExtent l="0" t="0" r="0" b="3175"/>
                  <wp:docPr id="1028" name="Picture 4"/>
                  <wp:cNvGraphicFramePr/>
                  <a:graphic xmlns:a="http://schemas.openxmlformats.org/drawingml/2006/main">
                    <a:graphicData uri="http://schemas.openxmlformats.org/drawingml/2006/picture">
                      <pic:pic xmlns:pic="http://schemas.openxmlformats.org/drawingml/2006/picture">
                        <pic:nvPicPr>
                          <pic:cNvPr id="1028" name="Picture 4"/>
                          <pic:cNvPicPr/>
                        </pic:nvPicPr>
                        <pic:blipFill>
                          <a:blip r:embed="rId12" cstate="print"/>
                          <a:srcRect/>
                          <a:stretch>
                            <a:fillRect/>
                          </a:stretch>
                        </pic:blipFill>
                        <pic:spPr>
                          <a:xfrm>
                            <a:off x="0" y="0"/>
                            <a:ext cx="2380254" cy="2146546"/>
                          </a:xfrm>
                          <a:prstGeom prst="rect">
                            <a:avLst/>
                          </a:prstGeom>
                          <a:ln>
                            <a:noFill/>
                          </a:ln>
                        </pic:spPr>
                      </pic:pic>
                    </a:graphicData>
                  </a:graphic>
                </wp:inline>
              </w:drawing>
            </w:r>
          </w:p>
        </w:tc>
        <w:tc>
          <w:tcPr>
            <w:tcW w:w="5265" w:type="dxa"/>
            <w:noWrap/>
            <w:vAlign w:val="center"/>
          </w:tcPr>
          <w:p w14:paraId="0885580A" w14:textId="77777777" w:rsidR="00BF0F78" w:rsidRPr="009B1BB3" w:rsidRDefault="00000000">
            <w:pPr>
              <w:keepNext/>
              <w:widowControl w:val="0"/>
              <w:overflowPunct w:val="0"/>
              <w:adjustRightInd w:val="0"/>
              <w:snapToGrid w:val="0"/>
              <w:spacing w:after="0" w:line="240" w:lineRule="auto"/>
              <w:jc w:val="center"/>
              <w:rPr>
                <w:rFonts w:eastAsiaTheme="minorHAnsi"/>
                <w:b/>
                <w:szCs w:val="22"/>
              </w:rPr>
            </w:pPr>
            <w:r w:rsidRPr="009B1BB3">
              <w:rPr>
                <w:rFonts w:eastAsia="宋体"/>
                <w:noProof/>
                <w:szCs w:val="22"/>
                <w:lang w:eastAsia="en-GB"/>
              </w:rPr>
              <w:drawing>
                <wp:inline distT="0" distB="0" distL="0" distR="0" wp14:anchorId="5BE5FAB8" wp14:editId="08310050">
                  <wp:extent cx="2201875" cy="2018894"/>
                  <wp:effectExtent l="0" t="0" r="8255" b="635"/>
                  <wp:docPr id="1029" name="Picture 5"/>
                  <wp:cNvGraphicFramePr/>
                  <a:graphic xmlns:a="http://schemas.openxmlformats.org/drawingml/2006/main">
                    <a:graphicData uri="http://schemas.openxmlformats.org/drawingml/2006/picture">
                      <pic:pic xmlns:pic="http://schemas.openxmlformats.org/drawingml/2006/picture">
                        <pic:nvPicPr>
                          <pic:cNvPr id="1029" name="Picture 5"/>
                          <pic:cNvPicPr/>
                        </pic:nvPicPr>
                        <pic:blipFill>
                          <a:blip r:embed="rId13" cstate="print"/>
                          <a:srcRect/>
                          <a:stretch>
                            <a:fillRect/>
                          </a:stretch>
                        </pic:blipFill>
                        <pic:spPr>
                          <a:xfrm>
                            <a:off x="0" y="0"/>
                            <a:ext cx="2214081" cy="2030085"/>
                          </a:xfrm>
                          <a:prstGeom prst="rect">
                            <a:avLst/>
                          </a:prstGeom>
                          <a:ln>
                            <a:noFill/>
                          </a:ln>
                        </pic:spPr>
                      </pic:pic>
                    </a:graphicData>
                  </a:graphic>
                </wp:inline>
              </w:drawing>
            </w:r>
          </w:p>
        </w:tc>
      </w:tr>
      <w:tr w:rsidR="009966AD" w:rsidRPr="00DA1DFB" w14:paraId="51DC54F0" w14:textId="77777777">
        <w:tblPrEx>
          <w:tblCellMar>
            <w:left w:w="108" w:type="dxa"/>
            <w:right w:w="108" w:type="dxa"/>
          </w:tblCellMar>
        </w:tblPrEx>
        <w:trPr>
          <w:cantSplit/>
          <w:trHeight w:val="20"/>
          <w:jc w:val="center"/>
        </w:trPr>
        <w:tc>
          <w:tcPr>
            <w:tcW w:w="10607" w:type="dxa"/>
            <w:gridSpan w:val="2"/>
            <w:noWrap/>
            <w:vAlign w:val="center"/>
          </w:tcPr>
          <w:p w14:paraId="188F7085" w14:textId="77777777" w:rsidR="00BF0F78" w:rsidRPr="00DA1DFB" w:rsidRDefault="00000000" w:rsidP="00DA1DFB">
            <w:pPr>
              <w:widowControl w:val="0"/>
              <w:overflowPunct w:val="0"/>
              <w:adjustRightInd w:val="0"/>
              <w:snapToGrid w:val="0"/>
              <w:spacing w:after="0" w:line="240" w:lineRule="auto"/>
              <w:jc w:val="center"/>
              <w:rPr>
                <w:rFonts w:ascii="Times New Roman" w:eastAsia="宋体" w:hAnsi="Times New Roman" w:cs="Times New Roman"/>
                <w:b/>
                <w:bCs/>
                <w:szCs w:val="22"/>
                <w:lang w:eastAsia="zh-CN"/>
              </w:rPr>
            </w:pPr>
            <w:r w:rsidRPr="00DA1DFB">
              <w:rPr>
                <w:rFonts w:ascii="Times New Roman" w:eastAsia="宋体" w:hAnsi="Times New Roman" w:cs="Times New Roman"/>
                <w:b/>
                <w:bCs/>
                <w:szCs w:val="22"/>
                <w:lang w:eastAsia="zh-CN"/>
              </w:rPr>
              <w:t>(b)</w:t>
            </w:r>
          </w:p>
        </w:tc>
      </w:tr>
    </w:tbl>
    <w:p w14:paraId="00623D45" w14:textId="2625694C" w:rsidR="00BF0F78" w:rsidRPr="009B1BB3" w:rsidRDefault="00000000">
      <w:pPr>
        <w:widowControl w:val="0"/>
        <w:overflowPunct w:val="0"/>
        <w:adjustRightInd w:val="0"/>
        <w:snapToGrid w:val="0"/>
        <w:spacing w:before="60" w:after="240" w:line="288" w:lineRule="auto"/>
        <w:jc w:val="both"/>
        <w:rPr>
          <w:rFonts w:eastAsia="宋体"/>
          <w:szCs w:val="22"/>
        </w:rPr>
      </w:pPr>
      <w:r w:rsidRPr="009B1BB3">
        <w:rPr>
          <w:rFonts w:eastAsia="宋体"/>
          <w:b/>
          <w:szCs w:val="22"/>
        </w:rPr>
        <w:t>Figure 1</w:t>
      </w:r>
      <w:r w:rsidR="0074201C">
        <w:rPr>
          <w:rFonts w:eastAsia="宋体" w:hint="eastAsia"/>
          <w:b/>
          <w:szCs w:val="22"/>
          <w:lang w:eastAsia="zh-CN"/>
        </w:rPr>
        <w:t>.</w:t>
      </w:r>
      <w:r w:rsidRPr="009B1BB3">
        <w:rPr>
          <w:rFonts w:eastAsia="宋体"/>
          <w:szCs w:val="22"/>
        </w:rPr>
        <w:t xml:space="preserve"> CUSUM and CUSUMSQ residual stability tests </w:t>
      </w:r>
      <w:r w:rsidRPr="009B1BB3">
        <w:rPr>
          <w:rFonts w:eastAsia="宋体"/>
          <w:b/>
          <w:bCs/>
          <w:szCs w:val="22"/>
        </w:rPr>
        <w:t>(a)</w:t>
      </w:r>
      <w:r w:rsidRPr="009B1BB3">
        <w:rPr>
          <w:rFonts w:eastAsia="宋体"/>
          <w:szCs w:val="22"/>
        </w:rPr>
        <w:t xml:space="preserve"> </w:t>
      </w:r>
      <w:r w:rsidRPr="009B1BB3">
        <w:rPr>
          <w:rFonts w:eastAsia="宋体"/>
          <w:szCs w:val="22"/>
          <w:lang w:eastAsia="en-GB"/>
        </w:rPr>
        <w:t xml:space="preserve">CUSUM and CUMSQ for Equation (1); </w:t>
      </w:r>
      <w:r w:rsidRPr="009B1BB3">
        <w:rPr>
          <w:rFonts w:eastAsia="宋体"/>
          <w:b/>
          <w:bCs/>
          <w:szCs w:val="22"/>
          <w:lang w:eastAsia="en-GB"/>
        </w:rPr>
        <w:t>(b)</w:t>
      </w:r>
      <w:r w:rsidRPr="009B1BB3">
        <w:rPr>
          <w:rFonts w:eastAsia="宋体"/>
          <w:szCs w:val="22"/>
          <w:lang w:eastAsia="en-GB"/>
        </w:rPr>
        <w:t xml:space="preserve"> CUSUM and CUMSQ for Equation (2).</w:t>
      </w:r>
    </w:p>
    <w:p w14:paraId="36D939A4" w14:textId="77777777" w:rsidR="00BF0F78" w:rsidRPr="009B1BB3" w:rsidRDefault="00000000">
      <w:pPr>
        <w:widowControl w:val="0"/>
        <w:overflowPunct w:val="0"/>
        <w:adjustRightInd w:val="0"/>
        <w:snapToGrid w:val="0"/>
        <w:spacing w:before="240" w:after="120" w:line="288" w:lineRule="auto"/>
        <w:ind w:left="2948"/>
        <w:rPr>
          <w:b/>
          <w:sz w:val="26"/>
        </w:rPr>
      </w:pPr>
      <w:r w:rsidRPr="009B1BB3">
        <w:rPr>
          <w:b/>
          <w:sz w:val="26"/>
        </w:rPr>
        <w:lastRenderedPageBreak/>
        <w:t>5. Conclusion and recommendation</w:t>
      </w:r>
    </w:p>
    <w:p w14:paraId="05ED6B65" w14:textId="77777777" w:rsidR="00931058" w:rsidRPr="00931058" w:rsidRDefault="00931058" w:rsidP="00931058">
      <w:pPr>
        <w:widowControl w:val="0"/>
        <w:overflowPunct w:val="0"/>
        <w:adjustRightInd w:val="0"/>
        <w:snapToGrid w:val="0"/>
        <w:spacing w:after="0" w:line="288" w:lineRule="auto"/>
        <w:ind w:left="2948" w:firstLine="442"/>
        <w:jc w:val="both"/>
        <w:rPr>
          <w:rFonts w:eastAsia="宋体"/>
          <w:szCs w:val="22"/>
        </w:rPr>
      </w:pPr>
      <w:r w:rsidRPr="00931058">
        <w:rPr>
          <w:rFonts w:eastAsia="宋体"/>
          <w:szCs w:val="22"/>
        </w:rPr>
        <w:t>This study assessed the effect of economic growth, external borrowing, and institutional quality on poverty and inequality in Nigeria between 1990 and 2022. The research applied the ARDL technique in its empirical analysis. Findings from the study indicated that economic growth does not have a significant long-run impact on poverty and inequality. However, the short-run relationship showed that economic growth increases inequality in Nigeria. External debt was revealed to further aggravate poverty and inequality in the long run. Also, while government effectiveness demonstrated an enhancing effect on poverty in the short- and long-run periods, its long-run impact on inequality is significantly decelerating.</w:t>
      </w:r>
    </w:p>
    <w:p w14:paraId="003DB1CD" w14:textId="77777777" w:rsidR="00931058" w:rsidRPr="00931058" w:rsidRDefault="00931058" w:rsidP="00931058">
      <w:pPr>
        <w:widowControl w:val="0"/>
        <w:overflowPunct w:val="0"/>
        <w:adjustRightInd w:val="0"/>
        <w:snapToGrid w:val="0"/>
        <w:spacing w:after="0" w:line="288" w:lineRule="auto"/>
        <w:ind w:left="2948" w:firstLine="442"/>
        <w:jc w:val="both"/>
        <w:rPr>
          <w:rFonts w:eastAsia="宋体"/>
          <w:szCs w:val="22"/>
        </w:rPr>
      </w:pPr>
      <w:r w:rsidRPr="00931058">
        <w:rPr>
          <w:rFonts w:eastAsia="宋体"/>
          <w:szCs w:val="22"/>
        </w:rPr>
        <w:t>Thus, based on the aforesaid conclusions, the study recommends an inclusive growth process in tackling the challenges of poverty and inequality in Nigeria. Policymakers need to rethink the exclusive growth path and, instead, adopt an economic prosperity path that promotes productivity alongside reduction in poverty and inequality and ensures sustainability (inclusive growth). For this purpose, there is the need to strengthen small and medium enterprises through access to finance at lower interest rates, equitable distribution of national wealth through the payment of a living wage, and provision of social and economic infrastructure. Also, the agricultural sector should be made more attractive to the youths through encouraging export promotion policies. Leveraging financial technology and encouraging start-up firms can further reduce the poverty and the inequality level in the country.</w:t>
      </w:r>
    </w:p>
    <w:p w14:paraId="59DAAA1D" w14:textId="77777777" w:rsidR="00931058" w:rsidRPr="00931058" w:rsidRDefault="00931058" w:rsidP="00931058">
      <w:pPr>
        <w:widowControl w:val="0"/>
        <w:overflowPunct w:val="0"/>
        <w:adjustRightInd w:val="0"/>
        <w:snapToGrid w:val="0"/>
        <w:spacing w:after="0" w:line="288" w:lineRule="auto"/>
        <w:ind w:left="2948" w:firstLine="442"/>
        <w:jc w:val="both"/>
        <w:rPr>
          <w:rFonts w:eastAsia="宋体"/>
          <w:szCs w:val="22"/>
        </w:rPr>
      </w:pPr>
      <w:r w:rsidRPr="00931058">
        <w:rPr>
          <w:rFonts w:eastAsia="宋体"/>
          <w:szCs w:val="22"/>
        </w:rPr>
        <w:t xml:space="preserve">Public borrowing should be used to eliminate factors that aid poverty and the inequality gap in the economy. Thus, external debt should be invested in poverty and inequality reduction measures such as engaging in well-designed social transfers, provision of social amenities, and economic infrastructure. These measures are bound to reduce the high rate of rural poverty, promote strategic </w:t>
      </w:r>
      <w:proofErr w:type="spellStart"/>
      <w:r w:rsidRPr="00931058">
        <w:rPr>
          <w:rFonts w:eastAsia="宋体"/>
          <w:szCs w:val="22"/>
        </w:rPr>
        <w:t>urbanisation</w:t>
      </w:r>
      <w:proofErr w:type="spellEnd"/>
      <w:r w:rsidRPr="00931058">
        <w:rPr>
          <w:rFonts w:eastAsia="宋体"/>
          <w:szCs w:val="22"/>
        </w:rPr>
        <w:t>, and, by extension, reduce urban poverty and inequality rates through less rural-urban migration. Also, the percentage of external debt in human capital development should be increased. Foreign debt should be used to improve the access to and quality of education and health for the youths, comprising over 70 percent of the nation’s population. Consequently, the budgetary allocation for both sectors should be enhanced significantly. Even in infrastructure financing, funding both sectors should form the core of foreign borrowing due to their critical role in tackling poverty and inequality in the country.</w:t>
      </w:r>
    </w:p>
    <w:p w14:paraId="34BCED8F" w14:textId="77777777" w:rsidR="00931058" w:rsidRPr="00931058" w:rsidRDefault="00931058" w:rsidP="00931058">
      <w:pPr>
        <w:widowControl w:val="0"/>
        <w:overflowPunct w:val="0"/>
        <w:adjustRightInd w:val="0"/>
        <w:snapToGrid w:val="0"/>
        <w:spacing w:after="0" w:line="288" w:lineRule="auto"/>
        <w:ind w:left="2948" w:firstLine="442"/>
        <w:jc w:val="both"/>
        <w:rPr>
          <w:rFonts w:eastAsia="宋体"/>
          <w:szCs w:val="22"/>
        </w:rPr>
      </w:pPr>
      <w:r w:rsidRPr="00931058">
        <w:rPr>
          <w:rFonts w:eastAsia="宋体"/>
          <w:szCs w:val="22"/>
        </w:rPr>
        <w:t>Also, institutional responses to poverty and inequality challenges in the country need to match the complexity and many dimensions of its drivers and require strong consensus at all levels. Government effectiveness is required to support quality education and job creation that will benefit all. Furthermore, the state institutions should be effective at enabling a fair distribution and redistribution of natural wealth; support fiscal policies that promote equality; guarantee open and responsive governments; support actions to challenge prejudices and cultural norms that underpin discrimination; promote the realization of human rights for all; universal, good-quality essential services; well-designed social protection; and investment in all children.</w:t>
      </w:r>
    </w:p>
    <w:p w14:paraId="0C4CBEDA" w14:textId="2333D51F" w:rsidR="00BF0F78" w:rsidRPr="009B1BB3" w:rsidRDefault="00931058" w:rsidP="00931058">
      <w:pPr>
        <w:widowControl w:val="0"/>
        <w:overflowPunct w:val="0"/>
        <w:adjustRightInd w:val="0"/>
        <w:snapToGrid w:val="0"/>
        <w:spacing w:after="0" w:line="288" w:lineRule="auto"/>
        <w:ind w:left="2948" w:firstLine="442"/>
        <w:jc w:val="both"/>
        <w:rPr>
          <w:rFonts w:eastAsia="宋体" w:hint="eastAsia"/>
          <w:szCs w:val="22"/>
          <w:lang w:eastAsia="zh-CN"/>
        </w:rPr>
      </w:pPr>
      <w:r w:rsidRPr="00931058">
        <w:rPr>
          <w:rFonts w:eastAsia="宋体"/>
          <w:szCs w:val="22"/>
        </w:rPr>
        <w:t xml:space="preserve">Nevertheless, this study is constrained by sufficient data for a sub-national level analysis of economic growth, foreign debt, and institutional quality on poverty and </w:t>
      </w:r>
      <w:r w:rsidRPr="00931058">
        <w:rPr>
          <w:rFonts w:eastAsia="宋体"/>
          <w:szCs w:val="22"/>
        </w:rPr>
        <w:lastRenderedPageBreak/>
        <w:t>income inequality in Nigeria. Hence, future studies can explore this limitation for a more robust analysis of the relationship between the variables.</w:t>
      </w:r>
    </w:p>
    <w:p w14:paraId="58678D11" w14:textId="77777777" w:rsidR="00BF0F78" w:rsidRPr="009B1BB3" w:rsidRDefault="00000000">
      <w:pPr>
        <w:pStyle w:val="MDPI31text"/>
        <w:widowControl w:val="0"/>
        <w:overflowPunct w:val="0"/>
        <w:spacing w:before="240" w:after="120" w:line="288" w:lineRule="auto"/>
        <w:ind w:left="2948" w:firstLine="0"/>
        <w:rPr>
          <w:rFonts w:ascii="Times New Roman" w:eastAsiaTheme="minorEastAsia" w:hAnsi="Times New Roman"/>
          <w:color w:val="auto"/>
          <w:sz w:val="22"/>
          <w:lang w:eastAsia="en-US" w:bidi="ar-SA"/>
        </w:rPr>
      </w:pPr>
      <w:r w:rsidRPr="009B1BB3">
        <w:rPr>
          <w:rFonts w:ascii="Times New Roman" w:eastAsiaTheme="minorEastAsia" w:hAnsi="Times New Roman"/>
          <w:b/>
          <w:bCs/>
          <w:color w:val="auto"/>
          <w:sz w:val="22"/>
          <w:lang w:eastAsia="en-US" w:bidi="ar-SA"/>
        </w:rPr>
        <w:t>Author contributions</w:t>
      </w:r>
      <w:r w:rsidRPr="009B1BB3">
        <w:rPr>
          <w:rFonts w:ascii="Times New Roman" w:eastAsiaTheme="minorEastAsia" w:hAnsi="Times New Roman"/>
          <w:b/>
          <w:bCs/>
          <w:color w:val="auto"/>
          <w:sz w:val="22"/>
          <w:lang w:eastAsia="zh-CN" w:bidi="ar-SA"/>
        </w:rPr>
        <w:t>:</w:t>
      </w:r>
      <w:r w:rsidRPr="009B1BB3">
        <w:rPr>
          <w:rFonts w:ascii="Times New Roman" w:eastAsiaTheme="minorEastAsia" w:hAnsi="Times New Roman"/>
          <w:color w:val="auto"/>
          <w:sz w:val="22"/>
          <w:lang w:eastAsia="zh-CN" w:bidi="ar-SA"/>
        </w:rPr>
        <w:t xml:space="preserve"> </w:t>
      </w:r>
      <w:r w:rsidRPr="009B1BB3">
        <w:rPr>
          <w:rFonts w:ascii="Times New Roman" w:eastAsiaTheme="minorEastAsia" w:hAnsi="Times New Roman"/>
          <w:color w:val="auto"/>
          <w:sz w:val="22"/>
          <w:lang w:eastAsia="en-US" w:bidi="ar-SA"/>
        </w:rPr>
        <w:t>Conceptualization, MIY and SAA; methodology, SAA; software, SAA; validation, MIY and SAA; formal analysis, SAA; investigation, MIY; resources, MIY and SAA; data curation, MIY; writing—original draft preparation, MIY; writing—review and editing, SAA; visualization, SAA; supervision, MIY. All authors have read and agreed to the published version of the manuscript.</w:t>
      </w:r>
    </w:p>
    <w:p w14:paraId="538D9724" w14:textId="77777777" w:rsidR="00BF0F78" w:rsidRPr="009B1BB3" w:rsidRDefault="00000000">
      <w:pPr>
        <w:widowControl w:val="0"/>
        <w:overflowPunct w:val="0"/>
        <w:adjustRightInd w:val="0"/>
        <w:snapToGrid w:val="0"/>
        <w:spacing w:before="120" w:after="120" w:line="288" w:lineRule="auto"/>
        <w:ind w:left="2948"/>
        <w:jc w:val="both"/>
      </w:pPr>
      <w:r w:rsidRPr="009B1BB3">
        <w:rPr>
          <w:b/>
          <w:bCs/>
        </w:rPr>
        <w:t>Data availability statement</w:t>
      </w:r>
      <w:r w:rsidRPr="009B1BB3">
        <w:rPr>
          <w:b/>
          <w:bCs/>
          <w:lang w:eastAsia="zh-CN"/>
        </w:rPr>
        <w:t>:</w:t>
      </w:r>
      <w:r w:rsidRPr="009B1BB3">
        <w:rPr>
          <w:lang w:eastAsia="zh-CN"/>
        </w:rPr>
        <w:t xml:space="preserve"> </w:t>
      </w:r>
      <w:r w:rsidRPr="009B1BB3">
        <w:t>The data supporting the study’s findings are available from the corresponding author upon reasonable request.</w:t>
      </w:r>
    </w:p>
    <w:p w14:paraId="736C5B98" w14:textId="77777777" w:rsidR="00BF0F78" w:rsidRPr="009B1BB3" w:rsidRDefault="00000000">
      <w:pPr>
        <w:pStyle w:val="MDPI31text"/>
        <w:widowControl w:val="0"/>
        <w:overflowPunct w:val="0"/>
        <w:spacing w:before="120" w:after="120" w:line="288" w:lineRule="auto"/>
        <w:ind w:left="2948" w:firstLine="0"/>
        <w:rPr>
          <w:rFonts w:ascii="Times New Roman" w:eastAsiaTheme="minorEastAsia" w:hAnsi="Times New Roman"/>
          <w:color w:val="auto"/>
          <w:sz w:val="22"/>
          <w:lang w:eastAsia="zh-CN" w:bidi="ar-SA"/>
        </w:rPr>
      </w:pPr>
      <w:r w:rsidRPr="009B1BB3">
        <w:rPr>
          <w:rFonts w:ascii="Times New Roman" w:eastAsiaTheme="minorEastAsia" w:hAnsi="Times New Roman"/>
          <w:b/>
          <w:bCs/>
          <w:color w:val="auto"/>
          <w:sz w:val="22"/>
          <w:lang w:eastAsia="en-US" w:bidi="ar-SA"/>
        </w:rPr>
        <w:t>Conflict of interest</w:t>
      </w:r>
      <w:r w:rsidRPr="009B1BB3">
        <w:rPr>
          <w:rFonts w:ascii="Times New Roman" w:eastAsiaTheme="minorEastAsia" w:hAnsi="Times New Roman"/>
          <w:b/>
          <w:bCs/>
          <w:color w:val="auto"/>
          <w:sz w:val="22"/>
          <w:lang w:eastAsia="zh-CN" w:bidi="ar-SA"/>
        </w:rPr>
        <w:t>:</w:t>
      </w:r>
      <w:r w:rsidRPr="009B1BB3">
        <w:rPr>
          <w:rFonts w:ascii="Times New Roman" w:eastAsiaTheme="minorEastAsia" w:hAnsi="Times New Roman"/>
          <w:color w:val="auto"/>
          <w:sz w:val="22"/>
          <w:lang w:eastAsia="zh-CN" w:bidi="ar-SA"/>
        </w:rPr>
        <w:t xml:space="preserve"> </w:t>
      </w:r>
      <w:r w:rsidRPr="009B1BB3">
        <w:rPr>
          <w:rFonts w:ascii="Times New Roman" w:eastAsiaTheme="minorEastAsia" w:hAnsi="Times New Roman"/>
          <w:color w:val="auto"/>
          <w:sz w:val="22"/>
          <w:lang w:eastAsia="en-US" w:bidi="ar-SA"/>
        </w:rPr>
        <w:t>The authors declare no conflict of interest.</w:t>
      </w:r>
    </w:p>
    <w:p w14:paraId="73EF5F57" w14:textId="77777777" w:rsidR="00BF0F78" w:rsidRPr="009B1BB3" w:rsidRDefault="00000000">
      <w:pPr>
        <w:widowControl w:val="0"/>
        <w:overflowPunct w:val="0"/>
        <w:adjustRightInd w:val="0"/>
        <w:snapToGrid w:val="0"/>
        <w:spacing w:before="240" w:after="120" w:line="288" w:lineRule="auto"/>
        <w:rPr>
          <w:b/>
          <w:sz w:val="26"/>
        </w:rPr>
      </w:pPr>
      <w:r w:rsidRPr="009B1BB3">
        <w:rPr>
          <w:b/>
          <w:sz w:val="26"/>
        </w:rPr>
        <w:t>References</w:t>
      </w:r>
    </w:p>
    <w:p w14:paraId="518E38B8" w14:textId="249EDA7A" w:rsidR="00BF0F78" w:rsidRPr="00CE60CD" w:rsidRDefault="00000000" w:rsidP="000335E7">
      <w:pPr>
        <w:pStyle w:val="afc"/>
        <w:numPr>
          <w:ilvl w:val="0"/>
          <w:numId w:val="2"/>
        </w:numPr>
        <w:adjustRightInd w:val="0"/>
        <w:snapToGrid w:val="0"/>
        <w:spacing w:after="0" w:line="288" w:lineRule="auto"/>
        <w:ind w:left="420" w:hanging="420"/>
        <w:contextualSpacing w:val="0"/>
        <w:rPr>
          <w:sz w:val="20"/>
          <w:szCs w:val="20"/>
        </w:rPr>
      </w:pPr>
      <w:r w:rsidRPr="00CE60CD">
        <w:rPr>
          <w:sz w:val="20"/>
          <w:szCs w:val="20"/>
          <w:lang w:eastAsia="zh-CN"/>
        </w:rPr>
        <w:t>UN—United Nations (2024). Peace, dignity and equity on a healthy planet. Available online: https://www.un.org sourced 12/11/2024 (accessed on 5 July 2024).</w:t>
      </w:r>
    </w:p>
    <w:p w14:paraId="5822BFE3" w14:textId="1638B905" w:rsidR="00BF0F78" w:rsidRPr="00CE60CD" w:rsidRDefault="00000000" w:rsidP="000335E7">
      <w:pPr>
        <w:pStyle w:val="afc"/>
        <w:widowControl w:val="0"/>
        <w:numPr>
          <w:ilvl w:val="0"/>
          <w:numId w:val="2"/>
        </w:numPr>
        <w:overflowPunct w:val="0"/>
        <w:adjustRightInd w:val="0"/>
        <w:snapToGrid w:val="0"/>
        <w:spacing w:after="0" w:line="288" w:lineRule="auto"/>
        <w:ind w:left="420" w:hanging="420"/>
        <w:contextualSpacing w:val="0"/>
        <w:rPr>
          <w:sz w:val="20"/>
          <w:szCs w:val="20"/>
          <w:lang w:eastAsia="zh-CN"/>
        </w:rPr>
      </w:pPr>
      <w:proofErr w:type="spellStart"/>
      <w:r w:rsidRPr="00CE60CD">
        <w:rPr>
          <w:sz w:val="20"/>
          <w:szCs w:val="20"/>
          <w:lang w:eastAsia="zh-CN"/>
        </w:rPr>
        <w:t>Aladejare</w:t>
      </w:r>
      <w:proofErr w:type="spellEnd"/>
      <w:r w:rsidRPr="00CE60CD">
        <w:rPr>
          <w:sz w:val="20"/>
          <w:szCs w:val="20"/>
          <w:lang w:eastAsia="zh-CN"/>
        </w:rPr>
        <w:t xml:space="preserve"> S. Macroeconomic Volatility and its Significance to the Rising External Indebtedness of Nigeria. </w:t>
      </w:r>
      <w:proofErr w:type="spellStart"/>
      <w:r w:rsidRPr="00CE60CD">
        <w:rPr>
          <w:sz w:val="20"/>
          <w:szCs w:val="20"/>
          <w:lang w:eastAsia="zh-CN"/>
        </w:rPr>
        <w:t>Maliye</w:t>
      </w:r>
      <w:proofErr w:type="spellEnd"/>
      <w:r w:rsidRPr="00CE60CD">
        <w:rPr>
          <w:sz w:val="20"/>
          <w:szCs w:val="20"/>
          <w:lang w:eastAsia="zh-CN"/>
        </w:rPr>
        <w:t xml:space="preserve"> Çalışmaları </w:t>
      </w:r>
      <w:proofErr w:type="spellStart"/>
      <w:r w:rsidRPr="00CE60CD">
        <w:rPr>
          <w:sz w:val="20"/>
          <w:szCs w:val="20"/>
          <w:lang w:eastAsia="zh-CN"/>
        </w:rPr>
        <w:t>Dergisi</w:t>
      </w:r>
      <w:proofErr w:type="spellEnd"/>
      <w:r w:rsidRPr="00CE60CD">
        <w:rPr>
          <w:sz w:val="20"/>
          <w:szCs w:val="20"/>
          <w:lang w:eastAsia="zh-CN"/>
        </w:rPr>
        <w:t xml:space="preserve">. 2021; 0(66): 1–17. </w:t>
      </w:r>
      <w:proofErr w:type="spellStart"/>
      <w:r w:rsidRPr="00CE60CD">
        <w:rPr>
          <w:sz w:val="20"/>
          <w:szCs w:val="20"/>
          <w:lang w:eastAsia="zh-CN"/>
        </w:rPr>
        <w:t>doi</w:t>
      </w:r>
      <w:proofErr w:type="spellEnd"/>
      <w:r w:rsidRPr="00CE60CD">
        <w:rPr>
          <w:sz w:val="20"/>
          <w:szCs w:val="20"/>
          <w:lang w:eastAsia="zh-CN"/>
        </w:rPr>
        <w:t>: 10.26650/mcd2021-937042</w:t>
      </w:r>
    </w:p>
    <w:p w14:paraId="48284786" w14:textId="4EC456E3" w:rsidR="00BF0F78" w:rsidRPr="00CE60CD" w:rsidRDefault="00000000" w:rsidP="000335E7">
      <w:pPr>
        <w:pStyle w:val="afc"/>
        <w:numPr>
          <w:ilvl w:val="0"/>
          <w:numId w:val="2"/>
        </w:numPr>
        <w:adjustRightInd w:val="0"/>
        <w:snapToGrid w:val="0"/>
        <w:spacing w:after="0" w:line="288" w:lineRule="auto"/>
        <w:ind w:left="420" w:hanging="420"/>
        <w:contextualSpacing w:val="0"/>
        <w:rPr>
          <w:sz w:val="20"/>
          <w:szCs w:val="20"/>
        </w:rPr>
      </w:pPr>
      <w:r w:rsidRPr="00CE60CD">
        <w:rPr>
          <w:sz w:val="20"/>
          <w:szCs w:val="20"/>
          <w:lang w:eastAsia="zh-CN"/>
        </w:rPr>
        <w:t>NBS—National Bureau of Statistics (2023). National poverty profile 2023. Available online: http://www.nigerianstat.gov.ng (accessed on 20 June 2024).</w:t>
      </w:r>
      <w:r w:rsidRPr="00CE60CD">
        <w:rPr>
          <w:sz w:val="20"/>
          <w:szCs w:val="20"/>
        </w:rPr>
        <w:t xml:space="preserve"> </w:t>
      </w:r>
    </w:p>
    <w:p w14:paraId="4C4CB446" w14:textId="0AD5AC8B" w:rsidR="00BF0F78" w:rsidRPr="00CE60CD" w:rsidRDefault="00000000" w:rsidP="000335E7">
      <w:pPr>
        <w:pStyle w:val="afc"/>
        <w:numPr>
          <w:ilvl w:val="0"/>
          <w:numId w:val="2"/>
        </w:numPr>
        <w:adjustRightInd w:val="0"/>
        <w:snapToGrid w:val="0"/>
        <w:spacing w:after="0" w:line="288" w:lineRule="auto"/>
        <w:ind w:left="420" w:hanging="420"/>
        <w:contextualSpacing w:val="0"/>
        <w:rPr>
          <w:sz w:val="20"/>
          <w:szCs w:val="20"/>
        </w:rPr>
      </w:pPr>
      <w:r w:rsidRPr="00CE60CD">
        <w:rPr>
          <w:sz w:val="20"/>
          <w:szCs w:val="20"/>
          <w:lang w:eastAsia="zh-CN"/>
        </w:rPr>
        <w:t xml:space="preserve">NBS—National Bureau of Statistics &amp; SMEDAN—Small and Medium Enterprise Development Agency of Nigeria (2013). Collaborative Survey: Selected Findings. Available online: </w:t>
      </w:r>
      <w:r w:rsidR="008A6618">
        <w:rPr>
          <w:rFonts w:hint="eastAsia"/>
          <w:sz w:val="20"/>
          <w:szCs w:val="20"/>
          <w:lang w:eastAsia="zh-CN"/>
        </w:rPr>
        <w:t>https://</w:t>
      </w:r>
      <w:r w:rsidRPr="00CE60CD">
        <w:rPr>
          <w:sz w:val="20"/>
          <w:szCs w:val="20"/>
          <w:lang w:eastAsia="zh-CN"/>
        </w:rPr>
        <w:t>www.nigerianstat.gov.ng (accessed on 5 June 2023).</w:t>
      </w:r>
      <w:r w:rsidRPr="00CE60CD">
        <w:rPr>
          <w:sz w:val="20"/>
          <w:szCs w:val="20"/>
        </w:rPr>
        <w:t xml:space="preserve"> </w:t>
      </w:r>
    </w:p>
    <w:p w14:paraId="35ACBE0B" w14:textId="580D4ABA" w:rsidR="00BF0F78" w:rsidRPr="00CE60CD" w:rsidRDefault="00000000" w:rsidP="000335E7">
      <w:pPr>
        <w:pStyle w:val="afc"/>
        <w:numPr>
          <w:ilvl w:val="0"/>
          <w:numId w:val="2"/>
        </w:numPr>
        <w:adjustRightInd w:val="0"/>
        <w:snapToGrid w:val="0"/>
        <w:spacing w:after="0" w:line="288" w:lineRule="auto"/>
        <w:ind w:left="420" w:hanging="420"/>
        <w:contextualSpacing w:val="0"/>
        <w:rPr>
          <w:sz w:val="20"/>
          <w:szCs w:val="20"/>
        </w:rPr>
      </w:pPr>
      <w:r w:rsidRPr="00CE60CD">
        <w:rPr>
          <w:sz w:val="20"/>
          <w:szCs w:val="20"/>
          <w:lang w:eastAsia="zh-CN"/>
        </w:rPr>
        <w:t>NBS—National Bureau of Statistics (2019). Poverty Profile for Nigeria 2019. Available online: http</w:t>
      </w:r>
      <w:r w:rsidR="006A6FC3">
        <w:rPr>
          <w:rFonts w:hint="eastAsia"/>
          <w:sz w:val="20"/>
          <w:szCs w:val="20"/>
          <w:lang w:eastAsia="zh-CN"/>
        </w:rPr>
        <w:t>s</w:t>
      </w:r>
      <w:r w:rsidRPr="00CE60CD">
        <w:rPr>
          <w:sz w:val="20"/>
          <w:szCs w:val="20"/>
          <w:lang w:eastAsia="zh-CN"/>
        </w:rPr>
        <w:t>://www.nigerianstat.gov.ng (accessed on 10 August 2023).</w:t>
      </w:r>
      <w:r w:rsidRPr="00CE60CD">
        <w:rPr>
          <w:sz w:val="20"/>
          <w:szCs w:val="20"/>
        </w:rPr>
        <w:t xml:space="preserve"> </w:t>
      </w:r>
    </w:p>
    <w:p w14:paraId="3F0372F4" w14:textId="30517012" w:rsidR="00BF0F78" w:rsidRPr="00CE60CD" w:rsidRDefault="00000000" w:rsidP="000335E7">
      <w:pPr>
        <w:pStyle w:val="afc"/>
        <w:numPr>
          <w:ilvl w:val="0"/>
          <w:numId w:val="2"/>
        </w:numPr>
        <w:adjustRightInd w:val="0"/>
        <w:snapToGrid w:val="0"/>
        <w:spacing w:after="0" w:line="288" w:lineRule="auto"/>
        <w:ind w:left="420" w:hanging="420"/>
        <w:contextualSpacing w:val="0"/>
        <w:rPr>
          <w:rFonts w:eastAsia="Calibri"/>
          <w:sz w:val="20"/>
          <w:szCs w:val="20"/>
        </w:rPr>
      </w:pPr>
      <w:r w:rsidRPr="00CE60CD">
        <w:rPr>
          <w:sz w:val="20"/>
          <w:szCs w:val="20"/>
        </w:rPr>
        <w:t xml:space="preserve">UNDP—United Nations Development </w:t>
      </w:r>
      <w:proofErr w:type="spellStart"/>
      <w:r w:rsidRPr="00CE60CD">
        <w:rPr>
          <w:sz w:val="20"/>
          <w:szCs w:val="20"/>
        </w:rPr>
        <w:t>Programme</w:t>
      </w:r>
      <w:proofErr w:type="spellEnd"/>
      <w:r w:rsidRPr="00CE60CD">
        <w:rPr>
          <w:sz w:val="20"/>
          <w:szCs w:val="20"/>
        </w:rPr>
        <w:t xml:space="preserve"> (2024). Valuable insights and findings of the 2023/2024 human development report and its correlation to Nigeria’s human development index. Available online: </w:t>
      </w:r>
      <w:r w:rsidR="00BF0F78" w:rsidRPr="006A6FC3">
        <w:rPr>
          <w:sz w:val="20"/>
          <w:szCs w:val="20"/>
        </w:rPr>
        <w:t>https://www.undp.org</w:t>
      </w:r>
      <w:r w:rsidRPr="00CE60CD">
        <w:rPr>
          <w:sz w:val="20"/>
          <w:szCs w:val="20"/>
        </w:rPr>
        <w:t xml:space="preserve"> (accessed on 15 July 2024).</w:t>
      </w:r>
    </w:p>
    <w:p w14:paraId="025DD502" w14:textId="0B21E1EC" w:rsidR="00BF0F78" w:rsidRPr="00CE60CD" w:rsidRDefault="00000000" w:rsidP="000335E7">
      <w:pPr>
        <w:pStyle w:val="afc"/>
        <w:numPr>
          <w:ilvl w:val="0"/>
          <w:numId w:val="2"/>
        </w:numPr>
        <w:autoSpaceDE w:val="0"/>
        <w:autoSpaceDN w:val="0"/>
        <w:adjustRightInd w:val="0"/>
        <w:snapToGrid w:val="0"/>
        <w:spacing w:after="0" w:line="288" w:lineRule="auto"/>
        <w:ind w:left="420" w:hanging="420"/>
        <w:contextualSpacing w:val="0"/>
        <w:rPr>
          <w:rFonts w:eastAsia="Calibri"/>
          <w:sz w:val="20"/>
          <w:szCs w:val="20"/>
        </w:rPr>
      </w:pPr>
      <w:proofErr w:type="spellStart"/>
      <w:r w:rsidRPr="00CE60CD">
        <w:rPr>
          <w:sz w:val="20"/>
          <w:szCs w:val="20"/>
          <w:lang w:eastAsia="zh-CN"/>
        </w:rPr>
        <w:t>Aladejare</w:t>
      </w:r>
      <w:proofErr w:type="spellEnd"/>
      <w:r w:rsidRPr="00CE60CD">
        <w:rPr>
          <w:sz w:val="20"/>
          <w:szCs w:val="20"/>
          <w:lang w:eastAsia="zh-CN"/>
        </w:rPr>
        <w:t xml:space="preserve"> SA, </w:t>
      </w:r>
      <w:proofErr w:type="spellStart"/>
      <w:r w:rsidRPr="00CE60CD">
        <w:rPr>
          <w:sz w:val="20"/>
          <w:szCs w:val="20"/>
          <w:lang w:eastAsia="zh-CN"/>
        </w:rPr>
        <w:t>Nyiputen</w:t>
      </w:r>
      <w:proofErr w:type="spellEnd"/>
      <w:r w:rsidRPr="00CE60CD">
        <w:rPr>
          <w:sz w:val="20"/>
          <w:szCs w:val="20"/>
          <w:lang w:eastAsia="zh-CN"/>
        </w:rPr>
        <w:t xml:space="preserve"> IR, </w:t>
      </w:r>
      <w:proofErr w:type="spellStart"/>
      <w:r w:rsidRPr="00CE60CD">
        <w:rPr>
          <w:sz w:val="20"/>
          <w:szCs w:val="20"/>
          <w:lang w:eastAsia="zh-CN"/>
        </w:rPr>
        <w:t>Osagu</w:t>
      </w:r>
      <w:proofErr w:type="spellEnd"/>
      <w:r w:rsidRPr="00CE60CD">
        <w:rPr>
          <w:sz w:val="20"/>
          <w:szCs w:val="20"/>
          <w:lang w:eastAsia="zh-CN"/>
        </w:rPr>
        <w:t xml:space="preserve"> FN. Is macroeconomic instability a preventive measure in attaining sustainable development goals in Nigeria? Acta Universitatis </w:t>
      </w:r>
      <w:proofErr w:type="spellStart"/>
      <w:r w:rsidRPr="00CE60CD">
        <w:rPr>
          <w:sz w:val="20"/>
          <w:szCs w:val="20"/>
          <w:lang w:eastAsia="zh-CN"/>
        </w:rPr>
        <w:t>Danubius</w:t>
      </w:r>
      <w:proofErr w:type="spellEnd"/>
      <w:r w:rsidRPr="00CE60CD">
        <w:rPr>
          <w:sz w:val="20"/>
          <w:szCs w:val="20"/>
          <w:lang w:eastAsia="zh-CN"/>
        </w:rPr>
        <w:t xml:space="preserve"> Economica. 2020; 16(5): 144–170.</w:t>
      </w:r>
    </w:p>
    <w:p w14:paraId="64C16373" w14:textId="02E4CC3C" w:rsidR="00BF0F78" w:rsidRPr="00CE60CD" w:rsidRDefault="00000000" w:rsidP="000335E7">
      <w:pPr>
        <w:pStyle w:val="afc"/>
        <w:widowControl w:val="0"/>
        <w:numPr>
          <w:ilvl w:val="0"/>
          <w:numId w:val="2"/>
        </w:numPr>
        <w:overflowPunct w:val="0"/>
        <w:adjustRightInd w:val="0"/>
        <w:snapToGrid w:val="0"/>
        <w:spacing w:after="0" w:line="288" w:lineRule="auto"/>
        <w:ind w:left="420" w:hanging="420"/>
        <w:contextualSpacing w:val="0"/>
        <w:rPr>
          <w:rFonts w:eastAsia="Calibri"/>
          <w:sz w:val="20"/>
          <w:szCs w:val="20"/>
          <w:lang w:eastAsia="zh-CN"/>
        </w:rPr>
      </w:pPr>
      <w:proofErr w:type="spellStart"/>
      <w:r w:rsidRPr="00CE60CD">
        <w:rPr>
          <w:sz w:val="20"/>
          <w:szCs w:val="20"/>
          <w:lang w:eastAsia="zh-CN"/>
        </w:rPr>
        <w:t>Aladejare</w:t>
      </w:r>
      <w:proofErr w:type="spellEnd"/>
      <w:r w:rsidRPr="00CE60CD">
        <w:rPr>
          <w:sz w:val="20"/>
          <w:szCs w:val="20"/>
          <w:lang w:eastAsia="zh-CN"/>
        </w:rPr>
        <w:t xml:space="preserve"> SA, </w:t>
      </w:r>
      <w:proofErr w:type="spellStart"/>
      <w:r w:rsidRPr="00CE60CD">
        <w:rPr>
          <w:sz w:val="20"/>
          <w:szCs w:val="20"/>
          <w:lang w:eastAsia="zh-CN"/>
        </w:rPr>
        <w:t>Osagu</w:t>
      </w:r>
      <w:proofErr w:type="spellEnd"/>
      <w:r w:rsidRPr="00CE60CD">
        <w:rPr>
          <w:sz w:val="20"/>
          <w:szCs w:val="20"/>
          <w:lang w:eastAsia="zh-CN"/>
        </w:rPr>
        <w:t xml:space="preserve"> FN. Assessing quality of life from the lens of sustainability in Africa. Researchsquare.com; 2023. </w:t>
      </w:r>
      <w:proofErr w:type="spellStart"/>
      <w:r w:rsidR="00072629" w:rsidRPr="00CE60CD">
        <w:rPr>
          <w:sz w:val="20"/>
          <w:szCs w:val="20"/>
          <w:lang w:eastAsia="zh-CN"/>
        </w:rPr>
        <w:t>d</w:t>
      </w:r>
      <w:r w:rsidRPr="00CE60CD">
        <w:rPr>
          <w:sz w:val="20"/>
          <w:szCs w:val="20"/>
          <w:lang w:eastAsia="zh-CN"/>
        </w:rPr>
        <w:t>oi</w:t>
      </w:r>
      <w:proofErr w:type="spellEnd"/>
      <w:r w:rsidRPr="00CE60CD">
        <w:rPr>
          <w:sz w:val="20"/>
          <w:szCs w:val="20"/>
          <w:lang w:eastAsia="zh-CN"/>
        </w:rPr>
        <w:t>: 10.21203/rs.3.rs-2919846/v1</w:t>
      </w:r>
    </w:p>
    <w:p w14:paraId="6A1115AF" w14:textId="1E7BC1D0" w:rsidR="00BF0F78" w:rsidRPr="00CE60CD" w:rsidRDefault="00000000" w:rsidP="000335E7">
      <w:pPr>
        <w:pStyle w:val="afc"/>
        <w:numPr>
          <w:ilvl w:val="0"/>
          <w:numId w:val="2"/>
        </w:numPr>
        <w:adjustRightInd w:val="0"/>
        <w:snapToGrid w:val="0"/>
        <w:spacing w:after="0" w:line="288" w:lineRule="auto"/>
        <w:ind w:left="420" w:hanging="420"/>
        <w:contextualSpacing w:val="0"/>
        <w:rPr>
          <w:sz w:val="20"/>
          <w:szCs w:val="20"/>
        </w:rPr>
      </w:pPr>
      <w:r w:rsidRPr="00CE60CD">
        <w:rPr>
          <w:sz w:val="20"/>
          <w:szCs w:val="20"/>
          <w:lang w:eastAsia="zh-CN"/>
        </w:rPr>
        <w:t>World Bank (2015). New international poverty line. Available online: https://www.worldbank.org/en/understanding-poverty (accessed on 5 June 2023).</w:t>
      </w:r>
    </w:p>
    <w:p w14:paraId="2C79C26D" w14:textId="6B96E211" w:rsidR="00BF0F78" w:rsidRPr="00CE60CD" w:rsidRDefault="00000000" w:rsidP="000335E7">
      <w:pPr>
        <w:pStyle w:val="afc"/>
        <w:numPr>
          <w:ilvl w:val="0"/>
          <w:numId w:val="2"/>
        </w:numPr>
        <w:adjustRightInd w:val="0"/>
        <w:snapToGrid w:val="0"/>
        <w:spacing w:after="0" w:line="288" w:lineRule="auto"/>
        <w:ind w:left="420" w:hanging="420"/>
        <w:contextualSpacing w:val="0"/>
        <w:rPr>
          <w:sz w:val="20"/>
          <w:szCs w:val="20"/>
        </w:rPr>
      </w:pPr>
      <w:r w:rsidRPr="00CE60CD">
        <w:rPr>
          <w:sz w:val="20"/>
          <w:szCs w:val="20"/>
          <w:lang w:eastAsia="zh-CN"/>
        </w:rPr>
        <w:t>World Bank (2016). Poverty, income inequality and economic growth in Nigeria. Available online: https://www.documents.worldbank.org (accessed on 5 June 2023).</w:t>
      </w:r>
      <w:r w:rsidRPr="00CE60CD">
        <w:rPr>
          <w:sz w:val="20"/>
          <w:szCs w:val="20"/>
        </w:rPr>
        <w:t xml:space="preserve"> </w:t>
      </w:r>
    </w:p>
    <w:p w14:paraId="56249FFF" w14:textId="1304CCBA" w:rsidR="00BF0F78" w:rsidRPr="00CE60CD" w:rsidRDefault="00000000" w:rsidP="000335E7">
      <w:pPr>
        <w:pStyle w:val="afc"/>
        <w:numPr>
          <w:ilvl w:val="0"/>
          <w:numId w:val="2"/>
        </w:numPr>
        <w:autoSpaceDE w:val="0"/>
        <w:autoSpaceDN w:val="0"/>
        <w:adjustRightInd w:val="0"/>
        <w:snapToGrid w:val="0"/>
        <w:spacing w:after="0" w:line="288" w:lineRule="auto"/>
        <w:ind w:left="420" w:hanging="420"/>
        <w:contextualSpacing w:val="0"/>
        <w:rPr>
          <w:sz w:val="20"/>
          <w:szCs w:val="20"/>
        </w:rPr>
      </w:pPr>
      <w:r w:rsidRPr="00CE60CD">
        <w:rPr>
          <w:sz w:val="20"/>
          <w:szCs w:val="20"/>
          <w:lang w:eastAsia="zh-CN"/>
        </w:rPr>
        <w:t>UNDESA—United Nations Department of Economic and Social Affairs (2013). Inequality matters report of the world social situation 2013. Available online: http://un.org/esa/socdev/documents/reports/InequalityMatters.pdf (accessed on 5 June 2023).</w:t>
      </w:r>
    </w:p>
    <w:p w14:paraId="561ACFA7" w14:textId="2D678981" w:rsidR="00BF0F78" w:rsidRPr="00CE60CD" w:rsidRDefault="00000000" w:rsidP="000335E7">
      <w:pPr>
        <w:pStyle w:val="afc"/>
        <w:numPr>
          <w:ilvl w:val="0"/>
          <w:numId w:val="2"/>
        </w:numPr>
        <w:autoSpaceDE w:val="0"/>
        <w:autoSpaceDN w:val="0"/>
        <w:adjustRightInd w:val="0"/>
        <w:snapToGrid w:val="0"/>
        <w:spacing w:after="0" w:line="288" w:lineRule="auto"/>
        <w:ind w:left="420" w:hanging="420"/>
        <w:contextualSpacing w:val="0"/>
        <w:rPr>
          <w:sz w:val="20"/>
          <w:szCs w:val="20"/>
        </w:rPr>
      </w:pPr>
      <w:r w:rsidRPr="00CE60CD">
        <w:rPr>
          <w:sz w:val="20"/>
          <w:szCs w:val="20"/>
          <w:lang w:eastAsia="zh-CN"/>
        </w:rPr>
        <w:t xml:space="preserve">UNDP—United Nations Development </w:t>
      </w:r>
      <w:proofErr w:type="spellStart"/>
      <w:r w:rsidRPr="00CE60CD">
        <w:rPr>
          <w:sz w:val="20"/>
          <w:szCs w:val="20"/>
          <w:lang w:eastAsia="zh-CN"/>
        </w:rPr>
        <w:t>Programme</w:t>
      </w:r>
      <w:proofErr w:type="spellEnd"/>
      <w:r w:rsidRPr="00CE60CD">
        <w:rPr>
          <w:sz w:val="20"/>
          <w:szCs w:val="20"/>
          <w:lang w:eastAsia="zh-CN"/>
        </w:rPr>
        <w:t xml:space="preserve"> (2015). Humanity divided: Confronting inequality in developing countries. Available online: www.undp.org (accessed on 5 June 2023).</w:t>
      </w:r>
    </w:p>
    <w:p w14:paraId="5D9D2796" w14:textId="1E581A20" w:rsidR="00BF0F78" w:rsidRPr="00CE60CD" w:rsidRDefault="00000000" w:rsidP="000335E7">
      <w:pPr>
        <w:pStyle w:val="afc"/>
        <w:numPr>
          <w:ilvl w:val="0"/>
          <w:numId w:val="2"/>
        </w:numPr>
        <w:adjustRightInd w:val="0"/>
        <w:snapToGrid w:val="0"/>
        <w:spacing w:after="0" w:line="288" w:lineRule="auto"/>
        <w:ind w:left="420" w:hanging="420"/>
        <w:contextualSpacing w:val="0"/>
        <w:rPr>
          <w:sz w:val="20"/>
          <w:szCs w:val="20"/>
        </w:rPr>
      </w:pPr>
      <w:proofErr w:type="spellStart"/>
      <w:r w:rsidRPr="00CE60CD">
        <w:rPr>
          <w:sz w:val="20"/>
          <w:szCs w:val="20"/>
          <w:lang w:eastAsia="zh-CN"/>
        </w:rPr>
        <w:t>Ravallion</w:t>
      </w:r>
      <w:proofErr w:type="spellEnd"/>
      <w:r w:rsidRPr="00CE60CD">
        <w:rPr>
          <w:sz w:val="20"/>
          <w:szCs w:val="20"/>
          <w:lang w:eastAsia="zh-CN"/>
        </w:rPr>
        <w:t xml:space="preserve"> M. Growth, inequality, and poverty: looking beyond average. World development. 2004; 29(11): 1803–1815.</w:t>
      </w:r>
    </w:p>
    <w:p w14:paraId="7104913D" w14:textId="359D75DE" w:rsidR="00BF0F78" w:rsidRPr="00CE60CD" w:rsidRDefault="00000000" w:rsidP="000335E7">
      <w:pPr>
        <w:pStyle w:val="afc"/>
        <w:widowControl w:val="0"/>
        <w:numPr>
          <w:ilvl w:val="0"/>
          <w:numId w:val="2"/>
        </w:numPr>
        <w:overflowPunct w:val="0"/>
        <w:adjustRightInd w:val="0"/>
        <w:snapToGrid w:val="0"/>
        <w:spacing w:after="0" w:line="288" w:lineRule="auto"/>
        <w:ind w:left="420" w:hanging="420"/>
        <w:contextualSpacing w:val="0"/>
        <w:rPr>
          <w:sz w:val="20"/>
          <w:szCs w:val="20"/>
          <w:lang w:eastAsia="zh-CN"/>
        </w:rPr>
      </w:pPr>
      <w:proofErr w:type="spellStart"/>
      <w:r w:rsidRPr="00CE60CD">
        <w:rPr>
          <w:sz w:val="20"/>
          <w:szCs w:val="20"/>
          <w:lang w:eastAsia="zh-CN"/>
        </w:rPr>
        <w:t>Aladejare</w:t>
      </w:r>
      <w:proofErr w:type="spellEnd"/>
      <w:r w:rsidRPr="00CE60CD">
        <w:rPr>
          <w:sz w:val="20"/>
          <w:szCs w:val="20"/>
          <w:lang w:eastAsia="zh-CN"/>
        </w:rPr>
        <w:t xml:space="preserve"> SA. Economic prosperity, asymmetric natural resource income, and ecological demands in resource-reliant economies. Resources Policy. 2023a; 82: 103435. </w:t>
      </w:r>
      <w:proofErr w:type="spellStart"/>
      <w:r w:rsidRPr="00CE60CD">
        <w:rPr>
          <w:sz w:val="20"/>
          <w:szCs w:val="20"/>
          <w:lang w:eastAsia="zh-CN"/>
        </w:rPr>
        <w:t>doi</w:t>
      </w:r>
      <w:proofErr w:type="spellEnd"/>
      <w:r w:rsidRPr="00CE60CD">
        <w:rPr>
          <w:sz w:val="20"/>
          <w:szCs w:val="20"/>
          <w:lang w:eastAsia="zh-CN"/>
        </w:rPr>
        <w:t>: 10.1016/j.resourpol.2023.103435</w:t>
      </w:r>
    </w:p>
    <w:p w14:paraId="5744B2A4" w14:textId="07DC3093" w:rsidR="00BF0F78" w:rsidRPr="00CE60CD" w:rsidRDefault="00000000" w:rsidP="000335E7">
      <w:pPr>
        <w:pStyle w:val="afc"/>
        <w:numPr>
          <w:ilvl w:val="0"/>
          <w:numId w:val="2"/>
        </w:numPr>
        <w:adjustRightInd w:val="0"/>
        <w:snapToGrid w:val="0"/>
        <w:spacing w:after="0" w:line="288" w:lineRule="auto"/>
        <w:ind w:left="420" w:hanging="420"/>
        <w:contextualSpacing w:val="0"/>
        <w:rPr>
          <w:sz w:val="20"/>
          <w:szCs w:val="20"/>
        </w:rPr>
      </w:pPr>
      <w:proofErr w:type="spellStart"/>
      <w:r w:rsidRPr="00CE60CD">
        <w:rPr>
          <w:sz w:val="20"/>
          <w:szCs w:val="20"/>
          <w:lang w:eastAsia="zh-CN"/>
        </w:rPr>
        <w:t>Ravallion</w:t>
      </w:r>
      <w:proofErr w:type="spellEnd"/>
      <w:r w:rsidRPr="00CE60CD">
        <w:rPr>
          <w:sz w:val="20"/>
          <w:szCs w:val="20"/>
          <w:lang w:eastAsia="zh-CN"/>
        </w:rPr>
        <w:t xml:space="preserve"> M. Issues in Measuring and Modelling Poverty. The Economic Journal. 1996; 106(438): 1328–1343. </w:t>
      </w:r>
      <w:proofErr w:type="spellStart"/>
      <w:r w:rsidRPr="00CE60CD">
        <w:rPr>
          <w:sz w:val="20"/>
          <w:szCs w:val="20"/>
          <w:lang w:eastAsia="zh-CN"/>
        </w:rPr>
        <w:t>doi</w:t>
      </w:r>
      <w:proofErr w:type="spellEnd"/>
      <w:r w:rsidRPr="00CE60CD">
        <w:rPr>
          <w:sz w:val="20"/>
          <w:szCs w:val="20"/>
          <w:lang w:eastAsia="zh-CN"/>
        </w:rPr>
        <w:t>: 10.2307/2235525</w:t>
      </w:r>
      <w:r w:rsidRPr="00CE60CD">
        <w:rPr>
          <w:sz w:val="20"/>
          <w:szCs w:val="20"/>
        </w:rPr>
        <w:t xml:space="preserve"> </w:t>
      </w:r>
    </w:p>
    <w:p w14:paraId="0186238F" w14:textId="36C422C9" w:rsidR="00BF0F78" w:rsidRPr="00CE60CD" w:rsidRDefault="00000000" w:rsidP="000335E7">
      <w:pPr>
        <w:pStyle w:val="afc"/>
        <w:numPr>
          <w:ilvl w:val="0"/>
          <w:numId w:val="2"/>
        </w:numPr>
        <w:autoSpaceDE w:val="0"/>
        <w:autoSpaceDN w:val="0"/>
        <w:adjustRightInd w:val="0"/>
        <w:snapToGrid w:val="0"/>
        <w:spacing w:after="0" w:line="288" w:lineRule="auto"/>
        <w:ind w:left="420" w:hanging="420"/>
        <w:contextualSpacing w:val="0"/>
        <w:rPr>
          <w:sz w:val="20"/>
          <w:szCs w:val="20"/>
        </w:rPr>
      </w:pPr>
      <w:r w:rsidRPr="00CE60CD">
        <w:rPr>
          <w:sz w:val="20"/>
          <w:szCs w:val="20"/>
          <w:lang w:eastAsia="zh-CN"/>
        </w:rPr>
        <w:t xml:space="preserve">Baumol JW, Blinder SA. Economics principles and policy. In: Economics Principles and Policy (556-578). New York: Harcourt Brace </w:t>
      </w:r>
      <w:proofErr w:type="spellStart"/>
      <w:r w:rsidRPr="00CE60CD">
        <w:rPr>
          <w:sz w:val="20"/>
          <w:szCs w:val="20"/>
          <w:lang w:eastAsia="zh-CN"/>
        </w:rPr>
        <w:t>Jovanorich</w:t>
      </w:r>
      <w:proofErr w:type="spellEnd"/>
      <w:r w:rsidRPr="00CE60CD">
        <w:rPr>
          <w:sz w:val="20"/>
          <w:szCs w:val="20"/>
          <w:lang w:eastAsia="zh-CN"/>
        </w:rPr>
        <w:t>, Inc; 1979.</w:t>
      </w:r>
    </w:p>
    <w:p w14:paraId="120EE098" w14:textId="2F9C992A" w:rsidR="00BF0F78" w:rsidRPr="00CE60CD" w:rsidRDefault="00000000" w:rsidP="000335E7">
      <w:pPr>
        <w:pStyle w:val="afc"/>
        <w:numPr>
          <w:ilvl w:val="0"/>
          <w:numId w:val="2"/>
        </w:numPr>
        <w:adjustRightInd w:val="0"/>
        <w:snapToGrid w:val="0"/>
        <w:spacing w:after="0" w:line="288" w:lineRule="auto"/>
        <w:ind w:left="420" w:hanging="420"/>
        <w:contextualSpacing w:val="0"/>
        <w:rPr>
          <w:sz w:val="20"/>
          <w:szCs w:val="20"/>
        </w:rPr>
      </w:pPr>
      <w:r w:rsidRPr="00CE60CD">
        <w:rPr>
          <w:sz w:val="20"/>
          <w:szCs w:val="20"/>
          <w:lang w:eastAsia="zh-CN"/>
        </w:rPr>
        <w:t>Okafor HO. Economic growth, poverty and income inequality matrix in Nigeria: A further investigation. CBN Economic and Financial Review. 2016; 54(1): 25–44.</w:t>
      </w:r>
    </w:p>
    <w:p w14:paraId="5FCAF12C" w14:textId="77B9B33B" w:rsidR="00BF0F78" w:rsidRPr="00CE60CD" w:rsidRDefault="00000000" w:rsidP="000335E7">
      <w:pPr>
        <w:pStyle w:val="afc"/>
        <w:numPr>
          <w:ilvl w:val="0"/>
          <w:numId w:val="2"/>
        </w:numPr>
        <w:autoSpaceDE w:val="0"/>
        <w:autoSpaceDN w:val="0"/>
        <w:adjustRightInd w:val="0"/>
        <w:snapToGrid w:val="0"/>
        <w:spacing w:after="0" w:line="288" w:lineRule="auto"/>
        <w:ind w:left="420" w:hanging="420"/>
        <w:contextualSpacing w:val="0"/>
        <w:rPr>
          <w:sz w:val="20"/>
          <w:szCs w:val="20"/>
        </w:rPr>
      </w:pPr>
      <w:r w:rsidRPr="00CE60CD">
        <w:rPr>
          <w:sz w:val="20"/>
          <w:szCs w:val="20"/>
          <w:lang w:eastAsia="zh-CN"/>
        </w:rPr>
        <w:lastRenderedPageBreak/>
        <w:t>Ben EA. Growth, inequality and poverty in Nigeria. ACGS/MPAMS Discussion paper. United Nations Economic commission for Africa (UNECA) Addis Ababa Ethiopia; 2008.</w:t>
      </w:r>
    </w:p>
    <w:p w14:paraId="0793150B" w14:textId="03A4CD57" w:rsidR="00BF0F78" w:rsidRPr="00CE60CD" w:rsidRDefault="00000000" w:rsidP="000335E7">
      <w:pPr>
        <w:pStyle w:val="afc"/>
        <w:numPr>
          <w:ilvl w:val="0"/>
          <w:numId w:val="2"/>
        </w:numPr>
        <w:adjustRightInd w:val="0"/>
        <w:snapToGrid w:val="0"/>
        <w:spacing w:after="0" w:line="288" w:lineRule="auto"/>
        <w:ind w:left="420" w:hanging="420"/>
        <w:contextualSpacing w:val="0"/>
        <w:rPr>
          <w:sz w:val="20"/>
          <w:szCs w:val="20"/>
        </w:rPr>
      </w:pPr>
      <w:r w:rsidRPr="00CE60CD">
        <w:rPr>
          <w:sz w:val="20"/>
          <w:szCs w:val="20"/>
          <w:lang w:eastAsia="zh-CN"/>
        </w:rPr>
        <w:t xml:space="preserve">Nguyen VB. The Effect of Public Debt on Income Inequality in Advanced Economies: Does Institutional Quality Matter? </w:t>
      </w:r>
      <w:proofErr w:type="spellStart"/>
      <w:r w:rsidRPr="00CE60CD">
        <w:rPr>
          <w:sz w:val="20"/>
          <w:szCs w:val="20"/>
          <w:lang w:eastAsia="zh-CN"/>
        </w:rPr>
        <w:t>Ekonomický</w:t>
      </w:r>
      <w:proofErr w:type="spellEnd"/>
      <w:r w:rsidRPr="00CE60CD">
        <w:rPr>
          <w:sz w:val="20"/>
          <w:szCs w:val="20"/>
          <w:lang w:eastAsia="zh-CN"/>
        </w:rPr>
        <w:t xml:space="preserve"> </w:t>
      </w:r>
      <w:proofErr w:type="spellStart"/>
      <w:r w:rsidRPr="00CE60CD">
        <w:rPr>
          <w:sz w:val="20"/>
          <w:szCs w:val="20"/>
          <w:lang w:eastAsia="zh-CN"/>
        </w:rPr>
        <w:t>časopis</w:t>
      </w:r>
      <w:proofErr w:type="spellEnd"/>
      <w:r w:rsidRPr="00CE60CD">
        <w:rPr>
          <w:sz w:val="20"/>
          <w:szCs w:val="20"/>
          <w:lang w:eastAsia="zh-CN"/>
        </w:rPr>
        <w:t xml:space="preserve">. 2022; 70(9–10): 723–742. </w:t>
      </w:r>
      <w:proofErr w:type="spellStart"/>
      <w:r w:rsidRPr="00CE60CD">
        <w:rPr>
          <w:sz w:val="20"/>
          <w:szCs w:val="20"/>
          <w:lang w:eastAsia="zh-CN"/>
        </w:rPr>
        <w:t>doi</w:t>
      </w:r>
      <w:proofErr w:type="spellEnd"/>
      <w:r w:rsidRPr="00CE60CD">
        <w:rPr>
          <w:sz w:val="20"/>
          <w:szCs w:val="20"/>
          <w:lang w:eastAsia="zh-CN"/>
        </w:rPr>
        <w:t>: 10.31577/ekoncas.2022.09-10.03</w:t>
      </w:r>
    </w:p>
    <w:p w14:paraId="309AFFF1" w14:textId="161D6E82" w:rsidR="00BF0F78" w:rsidRPr="00CE60CD" w:rsidRDefault="00000000" w:rsidP="000335E7">
      <w:pPr>
        <w:pStyle w:val="afc"/>
        <w:numPr>
          <w:ilvl w:val="0"/>
          <w:numId w:val="2"/>
        </w:numPr>
        <w:adjustRightInd w:val="0"/>
        <w:snapToGrid w:val="0"/>
        <w:spacing w:after="0" w:line="288" w:lineRule="auto"/>
        <w:ind w:left="420" w:hanging="420"/>
        <w:contextualSpacing w:val="0"/>
        <w:rPr>
          <w:rFonts w:eastAsia="Calibri"/>
          <w:sz w:val="20"/>
          <w:szCs w:val="20"/>
        </w:rPr>
      </w:pPr>
      <w:r w:rsidRPr="00CE60CD">
        <w:rPr>
          <w:sz w:val="20"/>
          <w:szCs w:val="20"/>
          <w:lang w:eastAsia="zh-CN"/>
        </w:rPr>
        <w:t xml:space="preserve">Okere KI, </w:t>
      </w:r>
      <w:proofErr w:type="spellStart"/>
      <w:r w:rsidRPr="00CE60CD">
        <w:rPr>
          <w:sz w:val="20"/>
          <w:szCs w:val="20"/>
          <w:lang w:eastAsia="zh-CN"/>
        </w:rPr>
        <w:t>Dimnwobi</w:t>
      </w:r>
      <w:proofErr w:type="spellEnd"/>
      <w:r w:rsidRPr="00CE60CD">
        <w:rPr>
          <w:sz w:val="20"/>
          <w:szCs w:val="20"/>
          <w:lang w:eastAsia="zh-CN"/>
        </w:rPr>
        <w:t xml:space="preserve"> SK, </w:t>
      </w:r>
      <w:proofErr w:type="spellStart"/>
      <w:r w:rsidRPr="00CE60CD">
        <w:rPr>
          <w:sz w:val="20"/>
          <w:szCs w:val="20"/>
          <w:lang w:eastAsia="zh-CN"/>
        </w:rPr>
        <w:t>Ekesiobi</w:t>
      </w:r>
      <w:proofErr w:type="spellEnd"/>
      <w:r w:rsidRPr="00CE60CD">
        <w:rPr>
          <w:sz w:val="20"/>
          <w:szCs w:val="20"/>
          <w:lang w:eastAsia="zh-CN"/>
        </w:rPr>
        <w:t xml:space="preserve"> C, et al. Turning the tide on energy poverty in sub-Saharan Africa: Does public debt matter? Energy. 2023; 282: 128365. </w:t>
      </w:r>
      <w:proofErr w:type="spellStart"/>
      <w:r w:rsidRPr="00CE60CD">
        <w:rPr>
          <w:sz w:val="20"/>
          <w:szCs w:val="20"/>
          <w:lang w:eastAsia="zh-CN"/>
        </w:rPr>
        <w:t>doi</w:t>
      </w:r>
      <w:proofErr w:type="spellEnd"/>
      <w:r w:rsidRPr="00CE60CD">
        <w:rPr>
          <w:sz w:val="20"/>
          <w:szCs w:val="20"/>
          <w:lang w:eastAsia="zh-CN"/>
        </w:rPr>
        <w:t>: 10.1016/j.energy.2023.128365</w:t>
      </w:r>
    </w:p>
    <w:p w14:paraId="45599C30" w14:textId="41BABE6D" w:rsidR="00BF0F78" w:rsidRPr="00CE60CD" w:rsidRDefault="00000000" w:rsidP="000335E7">
      <w:pPr>
        <w:pStyle w:val="afc"/>
        <w:numPr>
          <w:ilvl w:val="0"/>
          <w:numId w:val="2"/>
        </w:numPr>
        <w:autoSpaceDE w:val="0"/>
        <w:autoSpaceDN w:val="0"/>
        <w:adjustRightInd w:val="0"/>
        <w:snapToGrid w:val="0"/>
        <w:spacing w:after="0" w:line="288" w:lineRule="auto"/>
        <w:ind w:left="420" w:hanging="420"/>
        <w:contextualSpacing w:val="0"/>
        <w:rPr>
          <w:rFonts w:eastAsia="Calibri"/>
          <w:sz w:val="20"/>
          <w:szCs w:val="20"/>
        </w:rPr>
      </w:pPr>
      <w:r w:rsidRPr="00CE60CD">
        <w:rPr>
          <w:sz w:val="20"/>
          <w:szCs w:val="20"/>
          <w:lang w:eastAsia="zh-CN"/>
        </w:rPr>
        <w:t xml:space="preserve">Delbianco F, </w:t>
      </w:r>
      <w:proofErr w:type="spellStart"/>
      <w:r w:rsidRPr="00CE60CD">
        <w:rPr>
          <w:sz w:val="20"/>
          <w:szCs w:val="20"/>
          <w:lang w:eastAsia="zh-CN"/>
        </w:rPr>
        <w:t>Dabús</w:t>
      </w:r>
      <w:proofErr w:type="spellEnd"/>
      <w:r w:rsidRPr="00CE60CD">
        <w:rPr>
          <w:sz w:val="20"/>
          <w:szCs w:val="20"/>
          <w:lang w:eastAsia="zh-CN"/>
        </w:rPr>
        <w:t xml:space="preserve"> C, Caraballo MÁ. Income inequality and economic growth: new evidence from </w:t>
      </w:r>
      <w:proofErr w:type="spellStart"/>
      <w:r w:rsidRPr="00CE60CD">
        <w:rPr>
          <w:sz w:val="20"/>
          <w:szCs w:val="20"/>
          <w:lang w:eastAsia="zh-CN"/>
        </w:rPr>
        <w:t>latin</w:t>
      </w:r>
      <w:proofErr w:type="spellEnd"/>
      <w:r w:rsidRPr="00CE60CD">
        <w:rPr>
          <w:sz w:val="20"/>
          <w:szCs w:val="20"/>
          <w:lang w:eastAsia="zh-CN"/>
        </w:rPr>
        <w:t xml:space="preserve"> </w:t>
      </w:r>
      <w:proofErr w:type="spellStart"/>
      <w:r w:rsidRPr="00CE60CD">
        <w:rPr>
          <w:sz w:val="20"/>
          <w:szCs w:val="20"/>
          <w:lang w:eastAsia="zh-CN"/>
        </w:rPr>
        <w:t>america</w:t>
      </w:r>
      <w:proofErr w:type="spellEnd"/>
      <w:r w:rsidRPr="00CE60CD">
        <w:rPr>
          <w:sz w:val="20"/>
          <w:szCs w:val="20"/>
          <w:lang w:eastAsia="zh-CN"/>
        </w:rPr>
        <w:t xml:space="preserve">. </w:t>
      </w:r>
      <w:proofErr w:type="spellStart"/>
      <w:r w:rsidRPr="00CE60CD">
        <w:rPr>
          <w:sz w:val="20"/>
          <w:szCs w:val="20"/>
          <w:lang w:eastAsia="zh-CN"/>
        </w:rPr>
        <w:t>Cuadernos</w:t>
      </w:r>
      <w:proofErr w:type="spellEnd"/>
      <w:r w:rsidRPr="00CE60CD">
        <w:rPr>
          <w:sz w:val="20"/>
          <w:szCs w:val="20"/>
          <w:lang w:eastAsia="zh-CN"/>
        </w:rPr>
        <w:t xml:space="preserve"> de Economía. 2014; 33(63): 381–398. </w:t>
      </w:r>
      <w:proofErr w:type="spellStart"/>
      <w:r w:rsidRPr="00CE60CD">
        <w:rPr>
          <w:sz w:val="20"/>
          <w:szCs w:val="20"/>
          <w:lang w:eastAsia="zh-CN"/>
        </w:rPr>
        <w:t>doi</w:t>
      </w:r>
      <w:proofErr w:type="spellEnd"/>
      <w:r w:rsidRPr="00CE60CD">
        <w:rPr>
          <w:sz w:val="20"/>
          <w:szCs w:val="20"/>
          <w:lang w:eastAsia="zh-CN"/>
        </w:rPr>
        <w:t>: 10.15446/cuad.econ.v33n63.45338</w:t>
      </w:r>
    </w:p>
    <w:p w14:paraId="19C9BCE6" w14:textId="7276C432" w:rsidR="00BF0F78" w:rsidRPr="00CE60CD" w:rsidRDefault="00000000" w:rsidP="000335E7">
      <w:pPr>
        <w:pStyle w:val="afc"/>
        <w:numPr>
          <w:ilvl w:val="0"/>
          <w:numId w:val="2"/>
        </w:numPr>
        <w:autoSpaceDE w:val="0"/>
        <w:autoSpaceDN w:val="0"/>
        <w:adjustRightInd w:val="0"/>
        <w:snapToGrid w:val="0"/>
        <w:spacing w:after="0" w:line="288" w:lineRule="auto"/>
        <w:ind w:left="420" w:hanging="420"/>
        <w:contextualSpacing w:val="0"/>
        <w:rPr>
          <w:rFonts w:eastAsia="TimesNewRomanPSMT"/>
          <w:sz w:val="20"/>
          <w:szCs w:val="20"/>
        </w:rPr>
      </w:pPr>
      <w:proofErr w:type="spellStart"/>
      <w:r w:rsidRPr="00CE60CD">
        <w:rPr>
          <w:rFonts w:eastAsia="TimesNewRomanPSMT"/>
          <w:sz w:val="20"/>
          <w:szCs w:val="20"/>
        </w:rPr>
        <w:t>Nwosa</w:t>
      </w:r>
      <w:proofErr w:type="spellEnd"/>
      <w:r w:rsidRPr="00CE60CD">
        <w:rPr>
          <w:rFonts w:eastAsia="TimesNewRomanPSMT"/>
          <w:sz w:val="20"/>
          <w:szCs w:val="20"/>
        </w:rPr>
        <w:t xml:space="preserve"> PI. Income inequality and economic growth in Nigeria: Implication for economic development. Acta Universitatis </w:t>
      </w:r>
      <w:proofErr w:type="spellStart"/>
      <w:r w:rsidRPr="00CE60CD">
        <w:rPr>
          <w:rFonts w:eastAsia="TimesNewRomanPSMT"/>
          <w:sz w:val="20"/>
          <w:szCs w:val="20"/>
        </w:rPr>
        <w:t>Danubius</w:t>
      </w:r>
      <w:proofErr w:type="spellEnd"/>
      <w:r w:rsidRPr="00CE60CD">
        <w:rPr>
          <w:rFonts w:eastAsia="TimesNewRomanPSMT"/>
          <w:sz w:val="20"/>
          <w:szCs w:val="20"/>
        </w:rPr>
        <w:t>. 2019; 15(1): 108-116.</w:t>
      </w:r>
    </w:p>
    <w:p w14:paraId="6B6086C3" w14:textId="7353CED7" w:rsidR="00BF0F78" w:rsidRPr="00CE60CD" w:rsidRDefault="00000000" w:rsidP="000335E7">
      <w:pPr>
        <w:pStyle w:val="afc"/>
        <w:numPr>
          <w:ilvl w:val="0"/>
          <w:numId w:val="2"/>
        </w:numPr>
        <w:autoSpaceDE w:val="0"/>
        <w:autoSpaceDN w:val="0"/>
        <w:adjustRightInd w:val="0"/>
        <w:snapToGrid w:val="0"/>
        <w:spacing w:after="0" w:line="288" w:lineRule="auto"/>
        <w:ind w:left="420" w:hanging="420"/>
        <w:contextualSpacing w:val="0"/>
        <w:rPr>
          <w:rFonts w:eastAsia="Calibri"/>
          <w:sz w:val="20"/>
          <w:szCs w:val="20"/>
        </w:rPr>
      </w:pPr>
      <w:r w:rsidRPr="00CE60CD">
        <w:rPr>
          <w:sz w:val="20"/>
          <w:szCs w:val="20"/>
          <w:lang w:eastAsia="zh-CN"/>
        </w:rPr>
        <w:t>WDI—World Bank. World Development Indicators.</w:t>
      </w:r>
      <w:r w:rsidR="00072629" w:rsidRPr="00072629">
        <w:t xml:space="preserve"> </w:t>
      </w:r>
      <w:r w:rsidR="00072629" w:rsidRPr="00072629">
        <w:rPr>
          <w:sz w:val="20"/>
          <w:szCs w:val="20"/>
          <w:lang w:eastAsia="zh-CN"/>
        </w:rPr>
        <w:t>WDI—World Bank</w:t>
      </w:r>
      <w:r w:rsidR="00072629">
        <w:rPr>
          <w:rFonts w:hint="eastAsia"/>
          <w:sz w:val="20"/>
          <w:szCs w:val="20"/>
          <w:lang w:eastAsia="zh-CN"/>
        </w:rPr>
        <w:t>; 2023.</w:t>
      </w:r>
    </w:p>
    <w:p w14:paraId="711EE46B" w14:textId="6E5779D0" w:rsidR="00BF0F78" w:rsidRPr="00CE60CD" w:rsidRDefault="00000000" w:rsidP="000335E7">
      <w:pPr>
        <w:pStyle w:val="afc"/>
        <w:numPr>
          <w:ilvl w:val="0"/>
          <w:numId w:val="2"/>
        </w:numPr>
        <w:adjustRightInd w:val="0"/>
        <w:snapToGrid w:val="0"/>
        <w:spacing w:after="0" w:line="288" w:lineRule="auto"/>
        <w:ind w:left="420" w:hanging="420"/>
        <w:contextualSpacing w:val="0"/>
        <w:rPr>
          <w:sz w:val="20"/>
          <w:szCs w:val="20"/>
        </w:rPr>
      </w:pPr>
      <w:r w:rsidRPr="00CE60CD">
        <w:rPr>
          <w:sz w:val="20"/>
          <w:szCs w:val="20"/>
          <w:lang w:eastAsia="zh-CN"/>
        </w:rPr>
        <w:t>DMO—Debt Management Office. Nigeria’s debt relief deal with the Paris Club. Abuja: DMO; 2005.</w:t>
      </w:r>
    </w:p>
    <w:p w14:paraId="492DC732" w14:textId="71330876" w:rsidR="00BF0F78" w:rsidRPr="00CE60CD" w:rsidRDefault="00000000" w:rsidP="000335E7">
      <w:pPr>
        <w:pStyle w:val="afc"/>
        <w:numPr>
          <w:ilvl w:val="0"/>
          <w:numId w:val="2"/>
        </w:numPr>
        <w:autoSpaceDE w:val="0"/>
        <w:autoSpaceDN w:val="0"/>
        <w:adjustRightInd w:val="0"/>
        <w:snapToGrid w:val="0"/>
        <w:spacing w:after="0" w:line="288" w:lineRule="auto"/>
        <w:ind w:left="420" w:hanging="420"/>
        <w:contextualSpacing w:val="0"/>
        <w:rPr>
          <w:rFonts w:eastAsia="TimesNewRomanPSMT"/>
          <w:sz w:val="20"/>
          <w:szCs w:val="20"/>
        </w:rPr>
      </w:pPr>
      <w:proofErr w:type="spellStart"/>
      <w:r w:rsidRPr="00CE60CD">
        <w:rPr>
          <w:sz w:val="20"/>
          <w:szCs w:val="20"/>
          <w:lang w:eastAsia="zh-CN"/>
        </w:rPr>
        <w:t>Lawanson</w:t>
      </w:r>
      <w:proofErr w:type="spellEnd"/>
      <w:r w:rsidRPr="00CE60CD">
        <w:rPr>
          <w:sz w:val="20"/>
          <w:szCs w:val="20"/>
          <w:lang w:eastAsia="zh-CN"/>
        </w:rPr>
        <w:t xml:space="preserve"> AO. An econometric analysis of capital flight from Nigeria: A portfolio approach. AERC Research paper 166, Nairobi; 2007. pp.1–36.</w:t>
      </w:r>
    </w:p>
    <w:p w14:paraId="7C3F9969" w14:textId="608A8949" w:rsidR="00BF0F78" w:rsidRPr="00CE60CD" w:rsidRDefault="00000000" w:rsidP="000335E7">
      <w:pPr>
        <w:pStyle w:val="afc"/>
        <w:numPr>
          <w:ilvl w:val="0"/>
          <w:numId w:val="2"/>
        </w:numPr>
        <w:autoSpaceDE w:val="0"/>
        <w:autoSpaceDN w:val="0"/>
        <w:adjustRightInd w:val="0"/>
        <w:snapToGrid w:val="0"/>
        <w:spacing w:after="0" w:line="288" w:lineRule="auto"/>
        <w:ind w:left="420" w:hanging="420"/>
        <w:contextualSpacing w:val="0"/>
        <w:rPr>
          <w:rFonts w:eastAsia="TimesNewRomanPSMT"/>
          <w:sz w:val="20"/>
          <w:szCs w:val="20"/>
        </w:rPr>
      </w:pPr>
      <w:r w:rsidRPr="00CE60CD">
        <w:rPr>
          <w:sz w:val="20"/>
          <w:szCs w:val="20"/>
          <w:lang w:eastAsia="zh-CN"/>
        </w:rPr>
        <w:t xml:space="preserve">Ndikumana L, Boyce JK. Capital flight from sub-Saharan Africa: linkages with external borrowing and policy options. International Review of Applied Economics. 2011; 25(2): 149–170. </w:t>
      </w:r>
      <w:proofErr w:type="spellStart"/>
      <w:r w:rsidRPr="00CE60CD">
        <w:rPr>
          <w:sz w:val="20"/>
          <w:szCs w:val="20"/>
          <w:lang w:eastAsia="zh-CN"/>
        </w:rPr>
        <w:t>doi</w:t>
      </w:r>
      <w:proofErr w:type="spellEnd"/>
      <w:r w:rsidRPr="00CE60CD">
        <w:rPr>
          <w:sz w:val="20"/>
          <w:szCs w:val="20"/>
          <w:lang w:eastAsia="zh-CN"/>
        </w:rPr>
        <w:t>: 10.1080/02692171.2010.483468</w:t>
      </w:r>
    </w:p>
    <w:p w14:paraId="2EED3F97" w14:textId="0DA5A60B" w:rsidR="00BF0F78" w:rsidRPr="00CE60CD" w:rsidRDefault="00000000" w:rsidP="000335E7">
      <w:pPr>
        <w:pStyle w:val="afc"/>
        <w:numPr>
          <w:ilvl w:val="0"/>
          <w:numId w:val="2"/>
        </w:numPr>
        <w:autoSpaceDE w:val="0"/>
        <w:autoSpaceDN w:val="0"/>
        <w:adjustRightInd w:val="0"/>
        <w:snapToGrid w:val="0"/>
        <w:spacing w:after="0" w:line="288" w:lineRule="auto"/>
        <w:ind w:left="420" w:hanging="420"/>
        <w:contextualSpacing w:val="0"/>
        <w:rPr>
          <w:rFonts w:eastAsia="TimesNewRomanPSMT"/>
          <w:sz w:val="20"/>
          <w:szCs w:val="20"/>
        </w:rPr>
      </w:pPr>
      <w:r w:rsidRPr="00CE60CD">
        <w:rPr>
          <w:sz w:val="20"/>
          <w:szCs w:val="20"/>
          <w:lang w:eastAsia="zh-CN"/>
        </w:rPr>
        <w:t>Ajayi SI. Macroeconomic approach to external debt: The case of Nigeria. AERC Research Paper Eight. Initiative Publishers, Nairobi; 1991.</w:t>
      </w:r>
    </w:p>
    <w:p w14:paraId="5EAD53CD" w14:textId="54AF0316" w:rsidR="00BF0F78" w:rsidRPr="00CE60CD" w:rsidRDefault="00000000" w:rsidP="000335E7">
      <w:pPr>
        <w:pStyle w:val="afc"/>
        <w:widowControl w:val="0"/>
        <w:numPr>
          <w:ilvl w:val="0"/>
          <w:numId w:val="2"/>
        </w:numPr>
        <w:overflowPunct w:val="0"/>
        <w:adjustRightInd w:val="0"/>
        <w:snapToGrid w:val="0"/>
        <w:spacing w:after="0" w:line="288" w:lineRule="auto"/>
        <w:ind w:left="420" w:hanging="420"/>
        <w:contextualSpacing w:val="0"/>
        <w:rPr>
          <w:rFonts w:eastAsia="Calibri"/>
          <w:sz w:val="20"/>
          <w:szCs w:val="20"/>
          <w:lang w:eastAsia="zh-CN"/>
        </w:rPr>
      </w:pPr>
      <w:r w:rsidRPr="00CE60CD">
        <w:rPr>
          <w:sz w:val="20"/>
          <w:szCs w:val="20"/>
          <w:lang w:eastAsia="zh-CN"/>
        </w:rPr>
        <w:t>Ajayi SI, Khan MS. External debt and capital flight in sub-Saharan Africa. International Monetary Fund, Washington, D. C; 2000.</w:t>
      </w:r>
    </w:p>
    <w:p w14:paraId="3A74D868" w14:textId="5720F8C6" w:rsidR="00BF0F78" w:rsidRPr="00CE60CD" w:rsidRDefault="00000000" w:rsidP="000335E7">
      <w:pPr>
        <w:pStyle w:val="afc"/>
        <w:numPr>
          <w:ilvl w:val="0"/>
          <w:numId w:val="2"/>
        </w:numPr>
        <w:autoSpaceDE w:val="0"/>
        <w:autoSpaceDN w:val="0"/>
        <w:adjustRightInd w:val="0"/>
        <w:snapToGrid w:val="0"/>
        <w:spacing w:after="0" w:line="288" w:lineRule="auto"/>
        <w:ind w:left="420" w:hanging="420"/>
        <w:contextualSpacing w:val="0"/>
        <w:rPr>
          <w:rFonts w:eastAsia="TimesNewRomanPSMT"/>
          <w:sz w:val="20"/>
          <w:szCs w:val="20"/>
        </w:rPr>
      </w:pPr>
      <w:proofErr w:type="spellStart"/>
      <w:r w:rsidRPr="00CE60CD">
        <w:rPr>
          <w:sz w:val="20"/>
          <w:szCs w:val="20"/>
          <w:lang w:eastAsia="zh-CN"/>
        </w:rPr>
        <w:t>Iyoha</w:t>
      </w:r>
      <w:proofErr w:type="spellEnd"/>
      <w:r w:rsidRPr="00CE60CD">
        <w:rPr>
          <w:sz w:val="20"/>
          <w:szCs w:val="20"/>
          <w:lang w:eastAsia="zh-CN"/>
        </w:rPr>
        <w:t xml:space="preserve"> M. An econometric analysis of external debt and economic growth. In S. Ajayi, and M. Khan (Eds.), External debt and capital flight in sub-Saharan Africa. Washington, DC: International Monetary Fund; 2000. pp. 160–209.</w:t>
      </w:r>
    </w:p>
    <w:p w14:paraId="2F9EEE11" w14:textId="4ADE83B9" w:rsidR="00BF0F78" w:rsidRPr="00CE60CD" w:rsidRDefault="00000000" w:rsidP="000335E7">
      <w:pPr>
        <w:pStyle w:val="afc"/>
        <w:numPr>
          <w:ilvl w:val="0"/>
          <w:numId w:val="2"/>
        </w:numPr>
        <w:autoSpaceDE w:val="0"/>
        <w:autoSpaceDN w:val="0"/>
        <w:adjustRightInd w:val="0"/>
        <w:snapToGrid w:val="0"/>
        <w:spacing w:after="0" w:line="288" w:lineRule="auto"/>
        <w:ind w:left="420" w:hanging="420"/>
        <w:contextualSpacing w:val="0"/>
        <w:rPr>
          <w:sz w:val="20"/>
          <w:szCs w:val="20"/>
        </w:rPr>
      </w:pPr>
      <w:r w:rsidRPr="00CE60CD">
        <w:rPr>
          <w:sz w:val="20"/>
          <w:szCs w:val="20"/>
          <w:lang w:eastAsia="zh-CN"/>
        </w:rPr>
        <w:t xml:space="preserve">Uddin I, Ahmad M, Ismailov D, et al. Enhancing institutional quality to boost economic development in developing nations: New insights from CS-ARDL approach. Research in Globalization. 2023; 7: 100137. </w:t>
      </w:r>
      <w:proofErr w:type="spellStart"/>
      <w:r w:rsidRPr="00CE60CD">
        <w:rPr>
          <w:sz w:val="20"/>
          <w:szCs w:val="20"/>
          <w:lang w:eastAsia="zh-CN"/>
        </w:rPr>
        <w:t>doi</w:t>
      </w:r>
      <w:proofErr w:type="spellEnd"/>
      <w:r w:rsidRPr="00CE60CD">
        <w:rPr>
          <w:sz w:val="20"/>
          <w:szCs w:val="20"/>
          <w:lang w:eastAsia="zh-CN"/>
        </w:rPr>
        <w:t>: 10.1016/j.resglo.2023.100137</w:t>
      </w:r>
    </w:p>
    <w:p w14:paraId="7F1FC54F" w14:textId="181EE721" w:rsidR="00BF0F78" w:rsidRPr="00CE60CD" w:rsidRDefault="00000000" w:rsidP="000335E7">
      <w:pPr>
        <w:pStyle w:val="afc"/>
        <w:numPr>
          <w:ilvl w:val="0"/>
          <w:numId w:val="2"/>
        </w:numPr>
        <w:adjustRightInd w:val="0"/>
        <w:snapToGrid w:val="0"/>
        <w:spacing w:after="0" w:line="288" w:lineRule="auto"/>
        <w:ind w:left="420" w:hanging="420"/>
        <w:contextualSpacing w:val="0"/>
        <w:rPr>
          <w:sz w:val="20"/>
          <w:szCs w:val="20"/>
        </w:rPr>
      </w:pPr>
      <w:proofErr w:type="spellStart"/>
      <w:r w:rsidRPr="00CE60CD">
        <w:rPr>
          <w:sz w:val="20"/>
          <w:szCs w:val="20"/>
          <w:lang w:eastAsia="zh-CN"/>
        </w:rPr>
        <w:t>Breuniq</w:t>
      </w:r>
      <w:proofErr w:type="spellEnd"/>
      <w:r w:rsidRPr="00CE60CD">
        <w:rPr>
          <w:sz w:val="20"/>
          <w:szCs w:val="20"/>
          <w:lang w:eastAsia="zh-CN"/>
        </w:rPr>
        <w:t xml:space="preserve"> R, Majeed O. Inequality, poverty and economic growth. Crawford School of Public Policy, Australia National University; 2014.</w:t>
      </w:r>
      <w:r w:rsidRPr="00CE60CD">
        <w:rPr>
          <w:sz w:val="20"/>
          <w:szCs w:val="20"/>
        </w:rPr>
        <w:t xml:space="preserve"> </w:t>
      </w:r>
    </w:p>
    <w:p w14:paraId="00E15E51" w14:textId="00DB5F0A" w:rsidR="00BF0F78" w:rsidRPr="00CE60CD" w:rsidRDefault="00000000" w:rsidP="000335E7">
      <w:pPr>
        <w:pStyle w:val="afc"/>
        <w:numPr>
          <w:ilvl w:val="0"/>
          <w:numId w:val="2"/>
        </w:numPr>
        <w:adjustRightInd w:val="0"/>
        <w:snapToGrid w:val="0"/>
        <w:spacing w:after="0" w:line="288" w:lineRule="auto"/>
        <w:ind w:left="420" w:hanging="420"/>
        <w:contextualSpacing w:val="0"/>
        <w:rPr>
          <w:sz w:val="20"/>
          <w:szCs w:val="20"/>
        </w:rPr>
      </w:pPr>
      <w:r w:rsidRPr="00CE60CD">
        <w:rPr>
          <w:sz w:val="20"/>
          <w:szCs w:val="20"/>
          <w:lang w:eastAsia="zh-CN"/>
        </w:rPr>
        <w:t xml:space="preserve">Seher GT. The Relationship Between Income Inequality and Economic Growth: Are Transmission Channels Effective? Social Indicators Research. 2022; 162(3): 1177–1231. </w:t>
      </w:r>
      <w:proofErr w:type="spellStart"/>
      <w:r w:rsidRPr="00CE60CD">
        <w:rPr>
          <w:sz w:val="20"/>
          <w:szCs w:val="20"/>
          <w:lang w:eastAsia="zh-CN"/>
        </w:rPr>
        <w:t>doi</w:t>
      </w:r>
      <w:proofErr w:type="spellEnd"/>
      <w:r w:rsidRPr="00CE60CD">
        <w:rPr>
          <w:sz w:val="20"/>
          <w:szCs w:val="20"/>
          <w:lang w:eastAsia="zh-CN"/>
        </w:rPr>
        <w:t>: 10.1007/s11205-022-02882-0</w:t>
      </w:r>
    </w:p>
    <w:p w14:paraId="60EBEB37" w14:textId="16B9F626" w:rsidR="00BF0F78" w:rsidRPr="00CE60CD" w:rsidRDefault="00000000" w:rsidP="000335E7">
      <w:pPr>
        <w:pStyle w:val="afc"/>
        <w:numPr>
          <w:ilvl w:val="0"/>
          <w:numId w:val="2"/>
        </w:numPr>
        <w:autoSpaceDE w:val="0"/>
        <w:autoSpaceDN w:val="0"/>
        <w:adjustRightInd w:val="0"/>
        <w:snapToGrid w:val="0"/>
        <w:spacing w:after="0" w:line="288" w:lineRule="auto"/>
        <w:ind w:left="420" w:hanging="420"/>
        <w:contextualSpacing w:val="0"/>
        <w:rPr>
          <w:sz w:val="20"/>
          <w:szCs w:val="20"/>
        </w:rPr>
      </w:pPr>
      <w:r w:rsidRPr="00CE60CD">
        <w:rPr>
          <w:sz w:val="20"/>
          <w:szCs w:val="20"/>
          <w:lang w:eastAsia="zh-CN"/>
        </w:rPr>
        <w:t>Zhu Y, Bashir S, Marie M. Assessing the relationship between poverty and economic growth: Does sustainable development goal can be achieved? Environmental Science and Pollution Research. 2022; 29(19): 27613–27623.</w:t>
      </w:r>
      <w:r w:rsidRPr="00CE60CD">
        <w:rPr>
          <w:sz w:val="20"/>
          <w:szCs w:val="20"/>
        </w:rPr>
        <w:t xml:space="preserve"> </w:t>
      </w:r>
    </w:p>
    <w:p w14:paraId="55AB9A1C" w14:textId="71C73DE4" w:rsidR="00BF0F78" w:rsidRPr="00CE60CD" w:rsidRDefault="00000000" w:rsidP="000335E7">
      <w:pPr>
        <w:pStyle w:val="afc"/>
        <w:numPr>
          <w:ilvl w:val="0"/>
          <w:numId w:val="2"/>
        </w:numPr>
        <w:autoSpaceDE w:val="0"/>
        <w:autoSpaceDN w:val="0"/>
        <w:adjustRightInd w:val="0"/>
        <w:snapToGrid w:val="0"/>
        <w:spacing w:after="0" w:line="288" w:lineRule="auto"/>
        <w:ind w:left="420" w:hanging="420"/>
        <w:contextualSpacing w:val="0"/>
        <w:rPr>
          <w:sz w:val="20"/>
          <w:szCs w:val="20"/>
        </w:rPr>
      </w:pPr>
      <w:r w:rsidRPr="00CE60CD">
        <w:rPr>
          <w:sz w:val="20"/>
          <w:szCs w:val="20"/>
          <w:lang w:eastAsia="zh-CN"/>
        </w:rPr>
        <w:t xml:space="preserve">Andoh FK, </w:t>
      </w:r>
      <w:proofErr w:type="spellStart"/>
      <w:r w:rsidRPr="00CE60CD">
        <w:rPr>
          <w:sz w:val="20"/>
          <w:szCs w:val="20"/>
          <w:lang w:eastAsia="zh-CN"/>
        </w:rPr>
        <w:t>Attobrah</w:t>
      </w:r>
      <w:proofErr w:type="spellEnd"/>
      <w:r w:rsidRPr="00CE60CD">
        <w:rPr>
          <w:sz w:val="20"/>
          <w:szCs w:val="20"/>
          <w:lang w:eastAsia="zh-CN"/>
        </w:rPr>
        <w:t xml:space="preserve"> E, Opoku A, et al. When does public debt hurt inequality in Africa? International Journal of Social Economics. 2023; 50(11): 1501–1520. </w:t>
      </w:r>
      <w:proofErr w:type="spellStart"/>
      <w:r w:rsidRPr="00CE60CD">
        <w:rPr>
          <w:sz w:val="20"/>
          <w:szCs w:val="20"/>
          <w:lang w:eastAsia="zh-CN"/>
        </w:rPr>
        <w:t>doi</w:t>
      </w:r>
      <w:proofErr w:type="spellEnd"/>
      <w:r w:rsidRPr="00CE60CD">
        <w:rPr>
          <w:sz w:val="20"/>
          <w:szCs w:val="20"/>
          <w:lang w:eastAsia="zh-CN"/>
        </w:rPr>
        <w:t>: 10.1108/ijse-06-2022-0435</w:t>
      </w:r>
    </w:p>
    <w:p w14:paraId="33441683" w14:textId="10B658DF" w:rsidR="00BF0F78" w:rsidRPr="00CE60CD" w:rsidRDefault="00000000" w:rsidP="000335E7">
      <w:pPr>
        <w:pStyle w:val="afc"/>
        <w:numPr>
          <w:ilvl w:val="0"/>
          <w:numId w:val="2"/>
        </w:numPr>
        <w:autoSpaceDE w:val="0"/>
        <w:autoSpaceDN w:val="0"/>
        <w:adjustRightInd w:val="0"/>
        <w:snapToGrid w:val="0"/>
        <w:spacing w:after="0" w:line="288" w:lineRule="auto"/>
        <w:ind w:left="420" w:hanging="420"/>
        <w:contextualSpacing w:val="0"/>
        <w:rPr>
          <w:sz w:val="20"/>
          <w:szCs w:val="20"/>
        </w:rPr>
      </w:pPr>
      <w:proofErr w:type="spellStart"/>
      <w:r w:rsidRPr="00CE60CD">
        <w:rPr>
          <w:sz w:val="20"/>
          <w:szCs w:val="20"/>
          <w:lang w:eastAsia="zh-CN"/>
        </w:rPr>
        <w:t>Biglaiser</w:t>
      </w:r>
      <w:proofErr w:type="spellEnd"/>
      <w:r w:rsidRPr="00CE60CD">
        <w:rPr>
          <w:sz w:val="20"/>
          <w:szCs w:val="20"/>
          <w:lang w:eastAsia="zh-CN"/>
        </w:rPr>
        <w:t xml:space="preserve"> G, McGauvran RJ. The effects of debt restructurings on income inequality in the developing world. European Journal of International Relations. 2021; 27(3): 808–829.</w:t>
      </w:r>
    </w:p>
    <w:p w14:paraId="56208079" w14:textId="503898E3" w:rsidR="00BF0F78" w:rsidRPr="00CE60CD" w:rsidRDefault="00000000" w:rsidP="000335E7">
      <w:pPr>
        <w:pStyle w:val="afc"/>
        <w:numPr>
          <w:ilvl w:val="0"/>
          <w:numId w:val="2"/>
        </w:numPr>
        <w:adjustRightInd w:val="0"/>
        <w:snapToGrid w:val="0"/>
        <w:spacing w:after="0" w:line="288" w:lineRule="auto"/>
        <w:ind w:left="420" w:hanging="420"/>
        <w:contextualSpacing w:val="0"/>
        <w:rPr>
          <w:sz w:val="20"/>
          <w:szCs w:val="20"/>
        </w:rPr>
      </w:pPr>
      <w:r w:rsidRPr="00CE60CD">
        <w:rPr>
          <w:sz w:val="20"/>
          <w:szCs w:val="20"/>
          <w:lang w:eastAsia="zh-CN"/>
        </w:rPr>
        <w:t>Carrera J, De la Vega P. The impact of income inequality on public debt. The Journal of Economic Asymmetries. 2021; 24: e00216.</w:t>
      </w:r>
    </w:p>
    <w:p w14:paraId="37ED767A" w14:textId="47AF0585" w:rsidR="00BF0F78" w:rsidRPr="00CE60CD" w:rsidRDefault="00000000" w:rsidP="000335E7">
      <w:pPr>
        <w:pStyle w:val="afc"/>
        <w:numPr>
          <w:ilvl w:val="0"/>
          <w:numId w:val="2"/>
        </w:numPr>
        <w:adjustRightInd w:val="0"/>
        <w:snapToGrid w:val="0"/>
        <w:spacing w:after="0" w:line="288" w:lineRule="auto"/>
        <w:ind w:left="420" w:hanging="420"/>
        <w:contextualSpacing w:val="0"/>
        <w:rPr>
          <w:sz w:val="20"/>
          <w:szCs w:val="20"/>
        </w:rPr>
      </w:pPr>
      <w:r w:rsidRPr="00CE60CD">
        <w:rPr>
          <w:sz w:val="20"/>
          <w:szCs w:val="20"/>
          <w:lang w:eastAsia="zh-CN"/>
        </w:rPr>
        <w:t xml:space="preserve">Mutascu M, </w:t>
      </w:r>
      <w:proofErr w:type="spellStart"/>
      <w:r w:rsidRPr="00CE60CD">
        <w:rPr>
          <w:sz w:val="20"/>
          <w:szCs w:val="20"/>
          <w:lang w:eastAsia="zh-CN"/>
        </w:rPr>
        <w:t>Lessoua</w:t>
      </w:r>
      <w:proofErr w:type="spellEnd"/>
      <w:r w:rsidRPr="00CE60CD">
        <w:rPr>
          <w:sz w:val="20"/>
          <w:szCs w:val="20"/>
          <w:lang w:eastAsia="zh-CN"/>
        </w:rPr>
        <w:t xml:space="preserve"> A, </w:t>
      </w:r>
      <w:proofErr w:type="spellStart"/>
      <w:r w:rsidRPr="00CE60CD">
        <w:rPr>
          <w:sz w:val="20"/>
          <w:szCs w:val="20"/>
          <w:lang w:eastAsia="zh-CN"/>
        </w:rPr>
        <w:t>Ianc</w:t>
      </w:r>
      <w:proofErr w:type="spellEnd"/>
      <w:r w:rsidRPr="00CE60CD">
        <w:rPr>
          <w:sz w:val="20"/>
          <w:szCs w:val="20"/>
          <w:lang w:eastAsia="zh-CN"/>
        </w:rPr>
        <w:t xml:space="preserve"> NB. Public debt and inequality in Sub-Saharan African: The case of EMCCA and WAEMU countries. Economic Change and Restructuring. 2024; 57(5): 162.</w:t>
      </w:r>
    </w:p>
    <w:p w14:paraId="2BE6FBF7" w14:textId="4DA9EB31" w:rsidR="00BF0F78" w:rsidRPr="00CE60CD" w:rsidRDefault="00000000" w:rsidP="000335E7">
      <w:pPr>
        <w:pStyle w:val="afc"/>
        <w:numPr>
          <w:ilvl w:val="0"/>
          <w:numId w:val="2"/>
        </w:numPr>
        <w:adjustRightInd w:val="0"/>
        <w:snapToGrid w:val="0"/>
        <w:spacing w:after="0" w:line="288" w:lineRule="auto"/>
        <w:ind w:left="420" w:hanging="420"/>
        <w:contextualSpacing w:val="0"/>
        <w:rPr>
          <w:sz w:val="20"/>
          <w:szCs w:val="20"/>
        </w:rPr>
      </w:pPr>
      <w:r w:rsidRPr="00CE60CD">
        <w:rPr>
          <w:sz w:val="20"/>
          <w:szCs w:val="20"/>
          <w:lang w:eastAsia="zh-CN"/>
        </w:rPr>
        <w:t xml:space="preserve">Nguyen V. The relationship between public debt and income inequality in advanced and developing economies: empirical evidence on the difference. </w:t>
      </w:r>
      <w:proofErr w:type="spellStart"/>
      <w:r w:rsidRPr="00CE60CD">
        <w:rPr>
          <w:sz w:val="20"/>
          <w:szCs w:val="20"/>
          <w:lang w:eastAsia="zh-CN"/>
        </w:rPr>
        <w:t>Panoeconomicus</w:t>
      </w:r>
      <w:proofErr w:type="spellEnd"/>
      <w:r w:rsidRPr="00CE60CD">
        <w:rPr>
          <w:sz w:val="20"/>
          <w:szCs w:val="20"/>
          <w:lang w:eastAsia="zh-CN"/>
        </w:rPr>
        <w:t xml:space="preserve">. 2024; (00): 1–1. </w:t>
      </w:r>
      <w:proofErr w:type="spellStart"/>
      <w:r w:rsidRPr="00CE60CD">
        <w:rPr>
          <w:sz w:val="20"/>
          <w:szCs w:val="20"/>
          <w:lang w:eastAsia="zh-CN"/>
        </w:rPr>
        <w:t>doi</w:t>
      </w:r>
      <w:proofErr w:type="spellEnd"/>
      <w:r w:rsidRPr="00CE60CD">
        <w:rPr>
          <w:sz w:val="20"/>
          <w:szCs w:val="20"/>
          <w:lang w:eastAsia="zh-CN"/>
        </w:rPr>
        <w:t>: 10.2298/pan211221001n</w:t>
      </w:r>
    </w:p>
    <w:p w14:paraId="575CFDCF" w14:textId="1B7712E2" w:rsidR="00BF0F78" w:rsidRPr="00CE60CD" w:rsidRDefault="00000000" w:rsidP="000335E7">
      <w:pPr>
        <w:pStyle w:val="afc"/>
        <w:numPr>
          <w:ilvl w:val="0"/>
          <w:numId w:val="2"/>
        </w:numPr>
        <w:adjustRightInd w:val="0"/>
        <w:snapToGrid w:val="0"/>
        <w:spacing w:after="0" w:line="288" w:lineRule="auto"/>
        <w:ind w:left="420" w:hanging="420"/>
        <w:contextualSpacing w:val="0"/>
        <w:rPr>
          <w:sz w:val="20"/>
          <w:szCs w:val="20"/>
        </w:rPr>
      </w:pPr>
      <w:r w:rsidRPr="00CE60CD">
        <w:rPr>
          <w:sz w:val="20"/>
          <w:szCs w:val="20"/>
          <w:lang w:eastAsia="zh-CN"/>
        </w:rPr>
        <w:t xml:space="preserve">Obiero WL, Topuz SG. Do public and internal debt cause income inequality? Evidence from Kenya. Journal of Economics, Finance and Administrative Science. 2021; 27(53): 124–138. </w:t>
      </w:r>
      <w:proofErr w:type="spellStart"/>
      <w:r w:rsidRPr="00CE60CD">
        <w:rPr>
          <w:sz w:val="20"/>
          <w:szCs w:val="20"/>
          <w:lang w:eastAsia="zh-CN"/>
        </w:rPr>
        <w:t>doi</w:t>
      </w:r>
      <w:proofErr w:type="spellEnd"/>
      <w:r w:rsidRPr="00CE60CD">
        <w:rPr>
          <w:sz w:val="20"/>
          <w:szCs w:val="20"/>
          <w:lang w:eastAsia="zh-CN"/>
        </w:rPr>
        <w:t>: 10.1108/jefas-05-2021-0049</w:t>
      </w:r>
    </w:p>
    <w:p w14:paraId="2581C831" w14:textId="66F1F017" w:rsidR="00BF0F78" w:rsidRPr="00CE60CD" w:rsidRDefault="00000000" w:rsidP="000335E7">
      <w:pPr>
        <w:pStyle w:val="afc"/>
        <w:numPr>
          <w:ilvl w:val="0"/>
          <w:numId w:val="2"/>
        </w:numPr>
        <w:autoSpaceDE w:val="0"/>
        <w:autoSpaceDN w:val="0"/>
        <w:adjustRightInd w:val="0"/>
        <w:snapToGrid w:val="0"/>
        <w:spacing w:after="0" w:line="288" w:lineRule="auto"/>
        <w:ind w:left="420" w:hanging="420"/>
        <w:contextualSpacing w:val="0"/>
        <w:rPr>
          <w:sz w:val="20"/>
          <w:szCs w:val="20"/>
        </w:rPr>
      </w:pPr>
      <w:r w:rsidRPr="00CE60CD">
        <w:rPr>
          <w:sz w:val="20"/>
          <w:szCs w:val="20"/>
          <w:lang w:eastAsia="zh-CN"/>
        </w:rPr>
        <w:t>Kuznets S. Economic growth and income inequality. American Economic Review. 1955; 45: 1–28.</w:t>
      </w:r>
      <w:r w:rsidRPr="00CE60CD">
        <w:rPr>
          <w:sz w:val="20"/>
          <w:szCs w:val="20"/>
        </w:rPr>
        <w:t xml:space="preserve"> </w:t>
      </w:r>
    </w:p>
    <w:p w14:paraId="7EE9B90B" w14:textId="64C5B45A" w:rsidR="00BF0F78" w:rsidRPr="00CE60CD" w:rsidRDefault="00000000" w:rsidP="000335E7">
      <w:pPr>
        <w:pStyle w:val="afc"/>
        <w:numPr>
          <w:ilvl w:val="0"/>
          <w:numId w:val="2"/>
        </w:numPr>
        <w:adjustRightInd w:val="0"/>
        <w:snapToGrid w:val="0"/>
        <w:spacing w:after="0" w:line="288" w:lineRule="auto"/>
        <w:ind w:left="420" w:hanging="420"/>
        <w:contextualSpacing w:val="0"/>
        <w:rPr>
          <w:sz w:val="20"/>
          <w:szCs w:val="20"/>
        </w:rPr>
      </w:pPr>
      <w:r w:rsidRPr="00CE60CD">
        <w:rPr>
          <w:sz w:val="20"/>
          <w:szCs w:val="20"/>
          <w:lang w:eastAsia="zh-CN"/>
        </w:rPr>
        <w:t>Davis EP, Sanchez-Martinez M. Economic theories of poverty. Available online: http://www.jrf.org.uk/report/economic-theories-poverty (accessed on 5 June 2023).</w:t>
      </w:r>
    </w:p>
    <w:p w14:paraId="676CD281" w14:textId="45549F47" w:rsidR="00BF0F78" w:rsidRPr="00CE60CD" w:rsidRDefault="00000000" w:rsidP="000335E7">
      <w:pPr>
        <w:pStyle w:val="afc"/>
        <w:numPr>
          <w:ilvl w:val="0"/>
          <w:numId w:val="2"/>
        </w:numPr>
        <w:adjustRightInd w:val="0"/>
        <w:snapToGrid w:val="0"/>
        <w:spacing w:after="0" w:line="288" w:lineRule="auto"/>
        <w:ind w:left="420" w:hanging="420"/>
        <w:contextualSpacing w:val="0"/>
        <w:rPr>
          <w:sz w:val="20"/>
          <w:szCs w:val="20"/>
        </w:rPr>
      </w:pPr>
      <w:r w:rsidRPr="00CE60CD">
        <w:rPr>
          <w:sz w:val="20"/>
          <w:szCs w:val="20"/>
          <w:lang w:eastAsia="zh-CN"/>
        </w:rPr>
        <w:t xml:space="preserve">Jung SY, Smith RJ. The Economics of poverty, Explanatory Theories to inform practice. Journal of Human </w:t>
      </w:r>
      <w:proofErr w:type="spellStart"/>
      <w:r w:rsidRPr="00CE60CD">
        <w:rPr>
          <w:sz w:val="20"/>
          <w:szCs w:val="20"/>
          <w:lang w:eastAsia="zh-CN"/>
        </w:rPr>
        <w:t>Behaviour</w:t>
      </w:r>
      <w:proofErr w:type="spellEnd"/>
      <w:r w:rsidRPr="00CE60CD">
        <w:rPr>
          <w:sz w:val="20"/>
          <w:szCs w:val="20"/>
          <w:lang w:eastAsia="zh-CN"/>
        </w:rPr>
        <w:t xml:space="preserve"> in the Social Environment. 2007; 16: 21–39.</w:t>
      </w:r>
    </w:p>
    <w:p w14:paraId="54D49446" w14:textId="5BD59EB6" w:rsidR="00BF0F78" w:rsidRPr="00CE60CD" w:rsidRDefault="00000000" w:rsidP="000335E7">
      <w:pPr>
        <w:pStyle w:val="afc"/>
        <w:numPr>
          <w:ilvl w:val="0"/>
          <w:numId w:val="2"/>
        </w:numPr>
        <w:adjustRightInd w:val="0"/>
        <w:snapToGrid w:val="0"/>
        <w:spacing w:after="0" w:line="288" w:lineRule="auto"/>
        <w:ind w:left="420" w:hanging="420"/>
        <w:contextualSpacing w:val="0"/>
        <w:rPr>
          <w:sz w:val="20"/>
          <w:szCs w:val="20"/>
        </w:rPr>
      </w:pPr>
      <w:r w:rsidRPr="00CE60CD">
        <w:rPr>
          <w:sz w:val="20"/>
          <w:szCs w:val="20"/>
          <w:lang w:eastAsia="zh-CN"/>
        </w:rPr>
        <w:t>Sachs JD. The End of Poverty Economic Possibilities for Over Time, New York. The penguin press; 2005.</w:t>
      </w:r>
    </w:p>
    <w:p w14:paraId="7A493378" w14:textId="5A6F4008" w:rsidR="00BF0F78" w:rsidRPr="00CE60CD" w:rsidRDefault="00000000" w:rsidP="000335E7">
      <w:pPr>
        <w:pStyle w:val="afc"/>
        <w:numPr>
          <w:ilvl w:val="0"/>
          <w:numId w:val="2"/>
        </w:numPr>
        <w:adjustRightInd w:val="0"/>
        <w:snapToGrid w:val="0"/>
        <w:spacing w:after="0" w:line="288" w:lineRule="auto"/>
        <w:ind w:left="420" w:hanging="420"/>
        <w:contextualSpacing w:val="0"/>
        <w:rPr>
          <w:sz w:val="20"/>
          <w:szCs w:val="20"/>
        </w:rPr>
      </w:pPr>
      <w:r w:rsidRPr="00CE60CD">
        <w:rPr>
          <w:sz w:val="20"/>
          <w:szCs w:val="20"/>
          <w:lang w:eastAsia="zh-CN"/>
        </w:rPr>
        <w:t>Misra SKV. Economics of development and planning (Theory and Practice)</w:t>
      </w:r>
      <w:r w:rsidR="00DA6D15">
        <w:rPr>
          <w:rFonts w:hint="eastAsia"/>
          <w:sz w:val="20"/>
          <w:szCs w:val="20"/>
          <w:lang w:eastAsia="zh-CN"/>
        </w:rPr>
        <w:t>,</w:t>
      </w:r>
      <w:r w:rsidRPr="00CE60CD">
        <w:rPr>
          <w:sz w:val="20"/>
          <w:szCs w:val="20"/>
          <w:lang w:eastAsia="zh-CN"/>
        </w:rPr>
        <w:t xml:space="preserve"> 12th ed. Mumbai Himalaya Publishing House; 2006. pp. 283–312.</w:t>
      </w:r>
    </w:p>
    <w:p w14:paraId="65486DF7" w14:textId="7883B495" w:rsidR="00BF0F78" w:rsidRPr="00CE60CD" w:rsidRDefault="00000000" w:rsidP="000335E7">
      <w:pPr>
        <w:pStyle w:val="afc"/>
        <w:numPr>
          <w:ilvl w:val="0"/>
          <w:numId w:val="2"/>
        </w:numPr>
        <w:autoSpaceDE w:val="0"/>
        <w:autoSpaceDN w:val="0"/>
        <w:adjustRightInd w:val="0"/>
        <w:snapToGrid w:val="0"/>
        <w:spacing w:after="0" w:line="288" w:lineRule="auto"/>
        <w:ind w:left="420" w:hanging="420"/>
        <w:contextualSpacing w:val="0"/>
        <w:rPr>
          <w:sz w:val="20"/>
          <w:szCs w:val="20"/>
        </w:rPr>
      </w:pPr>
      <w:r w:rsidRPr="00CE60CD">
        <w:rPr>
          <w:sz w:val="20"/>
          <w:szCs w:val="20"/>
        </w:rPr>
        <w:lastRenderedPageBreak/>
        <w:t>Ogbeide ENO, Agu DO. Poverty and income inequality in Nigeria: Any causality? Asian Economic and Financial Review. 2015; 5(3): 439.</w:t>
      </w:r>
    </w:p>
    <w:p w14:paraId="26AF81D0" w14:textId="47FB8D38" w:rsidR="00BF0F78" w:rsidRPr="00CE60CD" w:rsidRDefault="00000000" w:rsidP="000335E7">
      <w:pPr>
        <w:pStyle w:val="afc"/>
        <w:numPr>
          <w:ilvl w:val="0"/>
          <w:numId w:val="2"/>
        </w:numPr>
        <w:adjustRightInd w:val="0"/>
        <w:snapToGrid w:val="0"/>
        <w:spacing w:after="0" w:line="288" w:lineRule="auto"/>
        <w:ind w:left="420" w:hanging="420"/>
        <w:contextualSpacing w:val="0"/>
        <w:rPr>
          <w:sz w:val="20"/>
          <w:szCs w:val="20"/>
        </w:rPr>
      </w:pPr>
      <w:r w:rsidRPr="00CE60CD">
        <w:rPr>
          <w:sz w:val="20"/>
          <w:szCs w:val="20"/>
          <w:lang w:eastAsia="zh-CN"/>
        </w:rPr>
        <w:t>Jhingan ML. The Economics of Development and Planning. In. M.L. Jhingan, The Economics of Development and Planning. Delhi. Vrinda Publication Ltd; 2005. pp. 737–759.</w:t>
      </w:r>
    </w:p>
    <w:p w14:paraId="3613BD50" w14:textId="2AE65236" w:rsidR="00BF0F78" w:rsidRPr="00CE60CD" w:rsidRDefault="00000000" w:rsidP="000335E7">
      <w:pPr>
        <w:pStyle w:val="afc"/>
        <w:numPr>
          <w:ilvl w:val="0"/>
          <w:numId w:val="2"/>
        </w:numPr>
        <w:autoSpaceDE w:val="0"/>
        <w:autoSpaceDN w:val="0"/>
        <w:adjustRightInd w:val="0"/>
        <w:snapToGrid w:val="0"/>
        <w:spacing w:after="0" w:line="288" w:lineRule="auto"/>
        <w:ind w:left="420" w:hanging="420"/>
        <w:contextualSpacing w:val="0"/>
        <w:rPr>
          <w:sz w:val="20"/>
          <w:szCs w:val="20"/>
        </w:rPr>
      </w:pPr>
      <w:r w:rsidRPr="00CE60CD">
        <w:rPr>
          <w:sz w:val="20"/>
          <w:szCs w:val="20"/>
          <w:lang w:eastAsia="zh-CN"/>
        </w:rPr>
        <w:t xml:space="preserve">Ostry J, Berg A, Tsangarides C. Redistribution, Inequality, and Growth. Staff Discussion Notes. 2014; 14(02): 1. </w:t>
      </w:r>
      <w:proofErr w:type="spellStart"/>
      <w:r w:rsidRPr="00CE60CD">
        <w:rPr>
          <w:sz w:val="20"/>
          <w:szCs w:val="20"/>
          <w:lang w:eastAsia="zh-CN"/>
        </w:rPr>
        <w:t>doi</w:t>
      </w:r>
      <w:proofErr w:type="spellEnd"/>
      <w:r w:rsidRPr="00CE60CD">
        <w:rPr>
          <w:sz w:val="20"/>
          <w:szCs w:val="20"/>
          <w:lang w:eastAsia="zh-CN"/>
        </w:rPr>
        <w:t>: 10.5089/9781484352076.006</w:t>
      </w:r>
    </w:p>
    <w:p w14:paraId="2E527B1C" w14:textId="186565E1" w:rsidR="00BF0F78" w:rsidRPr="00CE60CD" w:rsidRDefault="00000000" w:rsidP="000335E7">
      <w:pPr>
        <w:pStyle w:val="afc"/>
        <w:numPr>
          <w:ilvl w:val="0"/>
          <w:numId w:val="2"/>
        </w:numPr>
        <w:autoSpaceDE w:val="0"/>
        <w:autoSpaceDN w:val="0"/>
        <w:adjustRightInd w:val="0"/>
        <w:snapToGrid w:val="0"/>
        <w:spacing w:after="0" w:line="288" w:lineRule="auto"/>
        <w:ind w:left="420" w:hanging="420"/>
        <w:contextualSpacing w:val="0"/>
        <w:rPr>
          <w:sz w:val="20"/>
          <w:szCs w:val="20"/>
        </w:rPr>
      </w:pPr>
      <w:r w:rsidRPr="00CE60CD">
        <w:rPr>
          <w:sz w:val="20"/>
          <w:szCs w:val="20"/>
          <w:lang w:eastAsia="zh-CN"/>
        </w:rPr>
        <w:t>UNICEF, UN Women, UNDP, &amp; OHCHR. TST issues brief Promoting equality, including social equity. Available online: https://www.sustainabledevelopment.un.org sourced 1/9/2024 (accessed on 5 June 2023).</w:t>
      </w:r>
    </w:p>
    <w:p w14:paraId="2D499ADE" w14:textId="4E419CF2" w:rsidR="00BF0F78" w:rsidRPr="00CE60CD" w:rsidRDefault="00000000" w:rsidP="000335E7">
      <w:pPr>
        <w:pStyle w:val="afc"/>
        <w:numPr>
          <w:ilvl w:val="0"/>
          <w:numId w:val="2"/>
        </w:numPr>
        <w:autoSpaceDE w:val="0"/>
        <w:autoSpaceDN w:val="0"/>
        <w:adjustRightInd w:val="0"/>
        <w:snapToGrid w:val="0"/>
        <w:spacing w:after="0" w:line="288" w:lineRule="auto"/>
        <w:ind w:left="420" w:hanging="420"/>
        <w:contextualSpacing w:val="0"/>
        <w:rPr>
          <w:sz w:val="20"/>
          <w:szCs w:val="20"/>
        </w:rPr>
      </w:pPr>
      <w:r w:rsidRPr="00CE60CD">
        <w:rPr>
          <w:sz w:val="20"/>
          <w:szCs w:val="20"/>
        </w:rPr>
        <w:t xml:space="preserve">Onwuka CE. Poverty, income inequality and economic growth in Nigeria (1981-2019). Journal of Economic Research and Reviews. 2022; 2(2): 92-100. </w:t>
      </w:r>
    </w:p>
    <w:p w14:paraId="7BC70B3D" w14:textId="4ED506D7" w:rsidR="00BF0F78" w:rsidRPr="00CE60CD" w:rsidRDefault="00000000" w:rsidP="000335E7">
      <w:pPr>
        <w:pStyle w:val="afc"/>
        <w:numPr>
          <w:ilvl w:val="0"/>
          <w:numId w:val="2"/>
        </w:numPr>
        <w:adjustRightInd w:val="0"/>
        <w:snapToGrid w:val="0"/>
        <w:spacing w:after="0" w:line="288" w:lineRule="auto"/>
        <w:ind w:left="420" w:hanging="420"/>
        <w:contextualSpacing w:val="0"/>
        <w:rPr>
          <w:sz w:val="20"/>
          <w:szCs w:val="20"/>
        </w:rPr>
      </w:pPr>
      <w:r w:rsidRPr="00CE60CD">
        <w:rPr>
          <w:sz w:val="20"/>
          <w:szCs w:val="20"/>
          <w:lang w:eastAsia="zh-CN"/>
        </w:rPr>
        <w:t xml:space="preserve">Jin J, Hong SY. Does income inequality affect individual happiness? Evidence from Seoul, Korea. Cities. 2022; 131: 104047. </w:t>
      </w:r>
      <w:proofErr w:type="spellStart"/>
      <w:r w:rsidRPr="00CE60CD">
        <w:rPr>
          <w:sz w:val="20"/>
          <w:szCs w:val="20"/>
          <w:lang w:eastAsia="zh-CN"/>
        </w:rPr>
        <w:t>doi</w:t>
      </w:r>
      <w:proofErr w:type="spellEnd"/>
      <w:r w:rsidRPr="00CE60CD">
        <w:rPr>
          <w:sz w:val="20"/>
          <w:szCs w:val="20"/>
          <w:lang w:eastAsia="zh-CN"/>
        </w:rPr>
        <w:t>: 10.1016/j.cities.2022.104047</w:t>
      </w:r>
    </w:p>
    <w:p w14:paraId="1E072623" w14:textId="2781B5B0" w:rsidR="00BF0F78" w:rsidRPr="00CE60CD" w:rsidRDefault="00000000" w:rsidP="000335E7">
      <w:pPr>
        <w:pStyle w:val="afc"/>
        <w:numPr>
          <w:ilvl w:val="0"/>
          <w:numId w:val="2"/>
        </w:numPr>
        <w:adjustRightInd w:val="0"/>
        <w:snapToGrid w:val="0"/>
        <w:spacing w:after="0" w:line="288" w:lineRule="auto"/>
        <w:ind w:left="420" w:hanging="420"/>
        <w:contextualSpacing w:val="0"/>
        <w:rPr>
          <w:sz w:val="20"/>
          <w:szCs w:val="20"/>
        </w:rPr>
      </w:pPr>
      <w:r w:rsidRPr="00CE60CD">
        <w:rPr>
          <w:sz w:val="20"/>
          <w:szCs w:val="20"/>
          <w:lang w:eastAsia="zh-CN"/>
        </w:rPr>
        <w:t xml:space="preserve">Severino R, Espinoza M, </w:t>
      </w:r>
      <w:proofErr w:type="spellStart"/>
      <w:r w:rsidRPr="00CE60CD">
        <w:rPr>
          <w:sz w:val="20"/>
          <w:szCs w:val="20"/>
          <w:lang w:eastAsia="zh-CN"/>
        </w:rPr>
        <w:t>Cabieses</w:t>
      </w:r>
      <w:proofErr w:type="spellEnd"/>
      <w:r w:rsidRPr="00CE60CD">
        <w:rPr>
          <w:sz w:val="20"/>
          <w:szCs w:val="20"/>
          <w:lang w:eastAsia="zh-CN"/>
        </w:rPr>
        <w:t xml:space="preserve"> B. Health-related quality of life by household income in Chile: a concentration index decomposition analysis. International Journal for Equity in Health. 2022; 21(1): 1–9. </w:t>
      </w:r>
      <w:proofErr w:type="spellStart"/>
      <w:r w:rsidRPr="00CE60CD">
        <w:rPr>
          <w:sz w:val="20"/>
          <w:szCs w:val="20"/>
          <w:lang w:eastAsia="zh-CN"/>
        </w:rPr>
        <w:t>doi</w:t>
      </w:r>
      <w:proofErr w:type="spellEnd"/>
      <w:r w:rsidRPr="00CE60CD">
        <w:rPr>
          <w:sz w:val="20"/>
          <w:szCs w:val="20"/>
          <w:lang w:eastAsia="zh-CN"/>
        </w:rPr>
        <w:t>: 10.1186/s12939-022-01770-w</w:t>
      </w:r>
    </w:p>
    <w:p w14:paraId="134ED3AD" w14:textId="2F31B458" w:rsidR="00BF0F78" w:rsidRPr="00CE60CD" w:rsidRDefault="00000000" w:rsidP="000335E7">
      <w:pPr>
        <w:pStyle w:val="afc"/>
        <w:numPr>
          <w:ilvl w:val="0"/>
          <w:numId w:val="2"/>
        </w:numPr>
        <w:adjustRightInd w:val="0"/>
        <w:snapToGrid w:val="0"/>
        <w:spacing w:after="0" w:line="288" w:lineRule="auto"/>
        <w:ind w:left="420" w:hanging="420"/>
        <w:contextualSpacing w:val="0"/>
        <w:rPr>
          <w:sz w:val="20"/>
          <w:szCs w:val="20"/>
        </w:rPr>
      </w:pPr>
      <w:r w:rsidRPr="00CE60CD">
        <w:rPr>
          <w:sz w:val="20"/>
          <w:szCs w:val="20"/>
          <w:lang w:eastAsia="zh-CN"/>
        </w:rPr>
        <w:t>Kabeer N. Can the MDGs provide a pathway to social justice? The challenge of intersecting inequalities. Brighton: Institute of Development Studies. Available online: https://www.ids.ac.uk/files/dmfile/MDGreportwebsiteu2WC.pdf (accessed on 5 June 2023).</w:t>
      </w:r>
      <w:r w:rsidRPr="00CE60CD">
        <w:rPr>
          <w:sz w:val="20"/>
          <w:szCs w:val="20"/>
        </w:rPr>
        <w:t xml:space="preserve"> </w:t>
      </w:r>
    </w:p>
    <w:p w14:paraId="521B47D9" w14:textId="59ACCA1C" w:rsidR="00BF0F78" w:rsidRPr="00CE60CD" w:rsidRDefault="00000000" w:rsidP="000335E7">
      <w:pPr>
        <w:pStyle w:val="afc"/>
        <w:numPr>
          <w:ilvl w:val="0"/>
          <w:numId w:val="2"/>
        </w:numPr>
        <w:adjustRightInd w:val="0"/>
        <w:snapToGrid w:val="0"/>
        <w:spacing w:after="0" w:line="288" w:lineRule="auto"/>
        <w:ind w:left="420" w:hanging="420"/>
        <w:contextualSpacing w:val="0"/>
        <w:rPr>
          <w:sz w:val="20"/>
          <w:szCs w:val="20"/>
        </w:rPr>
      </w:pPr>
      <w:r w:rsidRPr="00CE60CD">
        <w:rPr>
          <w:sz w:val="20"/>
          <w:szCs w:val="20"/>
          <w:lang w:eastAsia="zh-CN"/>
        </w:rPr>
        <w:t>World Bank (2020). Understanding poverty. Available online: https://www.worldbank.org/en/understanding-poverty (accessed on 5 June 2023).</w:t>
      </w:r>
    </w:p>
    <w:p w14:paraId="7BA02BEA" w14:textId="402C3E59" w:rsidR="00BF0F78" w:rsidRPr="00CE60CD" w:rsidRDefault="00000000" w:rsidP="000335E7">
      <w:pPr>
        <w:pStyle w:val="afc"/>
        <w:numPr>
          <w:ilvl w:val="0"/>
          <w:numId w:val="2"/>
        </w:numPr>
        <w:adjustRightInd w:val="0"/>
        <w:snapToGrid w:val="0"/>
        <w:spacing w:after="0" w:line="288" w:lineRule="auto"/>
        <w:ind w:left="420" w:hanging="420"/>
        <w:contextualSpacing w:val="0"/>
        <w:rPr>
          <w:sz w:val="20"/>
          <w:szCs w:val="20"/>
        </w:rPr>
      </w:pPr>
      <w:r w:rsidRPr="00CE60CD">
        <w:rPr>
          <w:sz w:val="20"/>
          <w:szCs w:val="20"/>
          <w:lang w:eastAsia="zh-CN"/>
        </w:rPr>
        <w:t>World Bank. Poverty in the midst of plenty: The challenge of growth with inclusion. World Bank; 1996.</w:t>
      </w:r>
      <w:r w:rsidRPr="00CE60CD">
        <w:rPr>
          <w:sz w:val="20"/>
          <w:szCs w:val="20"/>
        </w:rPr>
        <w:t xml:space="preserve"> </w:t>
      </w:r>
    </w:p>
    <w:p w14:paraId="4AC1B947" w14:textId="76884EDF" w:rsidR="00BF0F78" w:rsidRPr="00CE60CD" w:rsidRDefault="00000000" w:rsidP="000335E7">
      <w:pPr>
        <w:pStyle w:val="afc"/>
        <w:numPr>
          <w:ilvl w:val="0"/>
          <w:numId w:val="2"/>
        </w:numPr>
        <w:adjustRightInd w:val="0"/>
        <w:snapToGrid w:val="0"/>
        <w:spacing w:after="0" w:line="288" w:lineRule="auto"/>
        <w:ind w:left="420" w:hanging="420"/>
        <w:contextualSpacing w:val="0"/>
        <w:rPr>
          <w:sz w:val="20"/>
          <w:szCs w:val="20"/>
        </w:rPr>
      </w:pPr>
      <w:r w:rsidRPr="00CE60CD">
        <w:rPr>
          <w:sz w:val="20"/>
          <w:szCs w:val="20"/>
          <w:lang w:eastAsia="zh-CN"/>
        </w:rPr>
        <w:t xml:space="preserve">Ebi BO, </w:t>
      </w:r>
      <w:proofErr w:type="spellStart"/>
      <w:r w:rsidRPr="00CE60CD">
        <w:rPr>
          <w:sz w:val="20"/>
          <w:szCs w:val="20"/>
          <w:lang w:eastAsia="zh-CN"/>
        </w:rPr>
        <w:t>Aladejare</w:t>
      </w:r>
      <w:proofErr w:type="spellEnd"/>
      <w:r w:rsidRPr="00CE60CD">
        <w:rPr>
          <w:sz w:val="20"/>
          <w:szCs w:val="20"/>
          <w:lang w:eastAsia="zh-CN"/>
        </w:rPr>
        <w:t xml:space="preserve"> SA. By how much will faster economic growth boost government revenue in Nigeria? Journal of Economics and Development Studies. 2016; 4(2): 145–158.</w:t>
      </w:r>
    </w:p>
    <w:p w14:paraId="04EDA9A5" w14:textId="7D0113D6" w:rsidR="00BF0F78" w:rsidRPr="00CE60CD" w:rsidRDefault="00000000" w:rsidP="000335E7">
      <w:pPr>
        <w:pStyle w:val="afc"/>
        <w:widowControl w:val="0"/>
        <w:numPr>
          <w:ilvl w:val="0"/>
          <w:numId w:val="2"/>
        </w:numPr>
        <w:overflowPunct w:val="0"/>
        <w:adjustRightInd w:val="0"/>
        <w:snapToGrid w:val="0"/>
        <w:spacing w:after="0" w:line="288" w:lineRule="auto"/>
        <w:ind w:left="420" w:hanging="420"/>
        <w:contextualSpacing w:val="0"/>
        <w:rPr>
          <w:sz w:val="20"/>
          <w:szCs w:val="20"/>
          <w:lang w:eastAsia="zh-CN"/>
        </w:rPr>
      </w:pPr>
      <w:proofErr w:type="spellStart"/>
      <w:r w:rsidRPr="00CE60CD">
        <w:rPr>
          <w:sz w:val="20"/>
          <w:szCs w:val="20"/>
          <w:lang w:eastAsia="zh-CN"/>
        </w:rPr>
        <w:t>Aladejare</w:t>
      </w:r>
      <w:proofErr w:type="spellEnd"/>
      <w:r w:rsidRPr="00CE60CD">
        <w:rPr>
          <w:sz w:val="20"/>
          <w:szCs w:val="20"/>
          <w:lang w:eastAsia="zh-CN"/>
        </w:rPr>
        <w:t xml:space="preserve"> SA. Energy utilization, economic prosperity and environmental quality in west Africa: Is there an asymmetric nexus? International Journal of Energy, Environment, and Economics. 2020; 28(3): 166–191.</w:t>
      </w:r>
    </w:p>
    <w:p w14:paraId="2C91D20B" w14:textId="7032D465" w:rsidR="00BF0F78" w:rsidRPr="00CE60CD" w:rsidRDefault="00000000" w:rsidP="000335E7">
      <w:pPr>
        <w:pStyle w:val="afc"/>
        <w:numPr>
          <w:ilvl w:val="0"/>
          <w:numId w:val="2"/>
        </w:numPr>
        <w:adjustRightInd w:val="0"/>
        <w:snapToGrid w:val="0"/>
        <w:spacing w:after="0" w:line="288" w:lineRule="auto"/>
        <w:ind w:left="420" w:hanging="420"/>
        <w:contextualSpacing w:val="0"/>
        <w:rPr>
          <w:sz w:val="20"/>
          <w:szCs w:val="20"/>
        </w:rPr>
      </w:pPr>
      <w:r w:rsidRPr="00CE60CD">
        <w:rPr>
          <w:sz w:val="20"/>
          <w:szCs w:val="20"/>
          <w:lang w:eastAsia="zh-CN"/>
        </w:rPr>
        <w:t xml:space="preserve">Ebi BO, </w:t>
      </w:r>
      <w:proofErr w:type="spellStart"/>
      <w:r w:rsidRPr="00CE60CD">
        <w:rPr>
          <w:sz w:val="20"/>
          <w:szCs w:val="20"/>
          <w:lang w:eastAsia="zh-CN"/>
        </w:rPr>
        <w:t>Aladejare</w:t>
      </w:r>
      <w:proofErr w:type="spellEnd"/>
      <w:r w:rsidRPr="00CE60CD">
        <w:rPr>
          <w:sz w:val="20"/>
          <w:szCs w:val="20"/>
          <w:lang w:eastAsia="zh-CN"/>
        </w:rPr>
        <w:t xml:space="preserve"> SA. Oil price transmission to deficit financing and capital formation. </w:t>
      </w:r>
      <w:proofErr w:type="spellStart"/>
      <w:r w:rsidRPr="00CE60CD">
        <w:rPr>
          <w:sz w:val="20"/>
          <w:szCs w:val="20"/>
          <w:lang w:eastAsia="zh-CN"/>
        </w:rPr>
        <w:t>Jurnal</w:t>
      </w:r>
      <w:proofErr w:type="spellEnd"/>
      <w:r w:rsidRPr="00CE60CD">
        <w:rPr>
          <w:sz w:val="20"/>
          <w:szCs w:val="20"/>
          <w:lang w:eastAsia="zh-CN"/>
        </w:rPr>
        <w:t xml:space="preserve"> Ekonomi Malaysia. 2022; 56(1): 123–133.</w:t>
      </w:r>
    </w:p>
    <w:p w14:paraId="7133C530" w14:textId="7FAC3EC9" w:rsidR="00BF0F78" w:rsidRPr="00CE60CD" w:rsidRDefault="00000000" w:rsidP="000335E7">
      <w:pPr>
        <w:pStyle w:val="afc"/>
        <w:widowControl w:val="0"/>
        <w:numPr>
          <w:ilvl w:val="0"/>
          <w:numId w:val="2"/>
        </w:numPr>
        <w:overflowPunct w:val="0"/>
        <w:adjustRightInd w:val="0"/>
        <w:snapToGrid w:val="0"/>
        <w:spacing w:after="0" w:line="288" w:lineRule="auto"/>
        <w:ind w:left="420" w:hanging="420"/>
        <w:contextualSpacing w:val="0"/>
        <w:rPr>
          <w:sz w:val="20"/>
          <w:szCs w:val="20"/>
          <w:lang w:eastAsia="zh-CN"/>
        </w:rPr>
      </w:pPr>
      <w:proofErr w:type="spellStart"/>
      <w:r w:rsidRPr="00CE60CD">
        <w:rPr>
          <w:sz w:val="20"/>
          <w:szCs w:val="20"/>
          <w:lang w:eastAsia="zh-CN"/>
        </w:rPr>
        <w:t>Aladejare</w:t>
      </w:r>
      <w:proofErr w:type="spellEnd"/>
      <w:r w:rsidRPr="00CE60CD">
        <w:rPr>
          <w:sz w:val="20"/>
          <w:szCs w:val="20"/>
          <w:lang w:eastAsia="zh-CN"/>
        </w:rPr>
        <w:t xml:space="preserve"> SA. Deficit Financing Components, Inflation and Capital Formation in Nigeria: Evidence from a Direct and Indirect Analysis. Asian Journal of Economic Modelling. 2022; 10(1): 27–42. </w:t>
      </w:r>
      <w:proofErr w:type="spellStart"/>
      <w:r w:rsidRPr="00CE60CD">
        <w:rPr>
          <w:sz w:val="20"/>
          <w:szCs w:val="20"/>
          <w:lang w:eastAsia="zh-CN"/>
        </w:rPr>
        <w:t>doi</w:t>
      </w:r>
      <w:proofErr w:type="spellEnd"/>
      <w:r w:rsidRPr="00CE60CD">
        <w:rPr>
          <w:sz w:val="20"/>
          <w:szCs w:val="20"/>
          <w:lang w:eastAsia="zh-CN"/>
        </w:rPr>
        <w:t>: 10.55493/5009.v10i1.4454</w:t>
      </w:r>
    </w:p>
    <w:p w14:paraId="6A20B06E" w14:textId="699239B3" w:rsidR="00BF0F78" w:rsidRPr="00CE60CD" w:rsidRDefault="00000000" w:rsidP="000335E7">
      <w:pPr>
        <w:pStyle w:val="Default"/>
        <w:numPr>
          <w:ilvl w:val="0"/>
          <w:numId w:val="2"/>
        </w:numPr>
        <w:snapToGrid w:val="0"/>
        <w:spacing w:line="288" w:lineRule="auto"/>
        <w:ind w:left="420" w:hanging="420"/>
        <w:rPr>
          <w:rFonts w:ascii="Times New Roman" w:hAnsi="Times New Roman" w:cs="Times New Roman"/>
          <w:color w:val="auto"/>
          <w:sz w:val="20"/>
          <w:szCs w:val="20"/>
          <w:lang w:val="en-US"/>
        </w:rPr>
      </w:pPr>
      <w:proofErr w:type="spellStart"/>
      <w:r w:rsidRPr="00CE60CD">
        <w:rPr>
          <w:rFonts w:ascii="Times New Roman" w:hAnsi="Times New Roman" w:cs="Times New Roman"/>
          <w:color w:val="auto"/>
          <w:sz w:val="20"/>
          <w:szCs w:val="20"/>
          <w:lang w:val="en-US" w:eastAsia="zh-CN"/>
        </w:rPr>
        <w:t>Aladejare</w:t>
      </w:r>
      <w:proofErr w:type="spellEnd"/>
      <w:r w:rsidRPr="00CE60CD">
        <w:rPr>
          <w:rFonts w:ascii="Times New Roman" w:hAnsi="Times New Roman" w:cs="Times New Roman"/>
          <w:color w:val="auto"/>
          <w:sz w:val="20"/>
          <w:szCs w:val="20"/>
          <w:lang w:val="en-US" w:eastAsia="zh-CN"/>
        </w:rPr>
        <w:t xml:space="preserve"> SA, Musa MA. Does rising resources income, consumer prices, government outlay, and </w:t>
      </w:r>
      <w:proofErr w:type="spellStart"/>
      <w:r w:rsidRPr="00CE60CD">
        <w:rPr>
          <w:rFonts w:ascii="Times New Roman" w:hAnsi="Times New Roman" w:cs="Times New Roman"/>
          <w:color w:val="auto"/>
          <w:sz w:val="20"/>
          <w:szCs w:val="20"/>
          <w:lang w:val="en-US" w:eastAsia="zh-CN"/>
        </w:rPr>
        <w:t>globalisation</w:t>
      </w:r>
      <w:proofErr w:type="spellEnd"/>
      <w:r w:rsidRPr="00CE60CD">
        <w:rPr>
          <w:rFonts w:ascii="Times New Roman" w:hAnsi="Times New Roman" w:cs="Times New Roman"/>
          <w:color w:val="auto"/>
          <w:sz w:val="20"/>
          <w:szCs w:val="20"/>
          <w:lang w:val="en-US" w:eastAsia="zh-CN"/>
        </w:rPr>
        <w:t xml:space="preserve"> hinder Africa’s sustainable development? International Journal of Technology Management &amp; Sustainable Development. 2024a; 23(1): 37–62.</w:t>
      </w:r>
    </w:p>
    <w:p w14:paraId="031D5EAE" w14:textId="29BC823D" w:rsidR="00BF0F78" w:rsidRPr="00CE60CD" w:rsidRDefault="00000000" w:rsidP="000335E7">
      <w:pPr>
        <w:pStyle w:val="afc"/>
        <w:widowControl w:val="0"/>
        <w:numPr>
          <w:ilvl w:val="0"/>
          <w:numId w:val="2"/>
        </w:numPr>
        <w:overflowPunct w:val="0"/>
        <w:adjustRightInd w:val="0"/>
        <w:snapToGrid w:val="0"/>
        <w:spacing w:after="0" w:line="288" w:lineRule="auto"/>
        <w:ind w:left="420" w:hanging="420"/>
        <w:contextualSpacing w:val="0"/>
        <w:rPr>
          <w:sz w:val="20"/>
          <w:szCs w:val="20"/>
          <w:lang w:eastAsia="zh-CN"/>
        </w:rPr>
      </w:pPr>
      <w:proofErr w:type="spellStart"/>
      <w:r w:rsidRPr="00CE60CD">
        <w:rPr>
          <w:sz w:val="20"/>
          <w:szCs w:val="20"/>
          <w:lang w:eastAsia="zh-CN"/>
        </w:rPr>
        <w:t>Aladejare</w:t>
      </w:r>
      <w:proofErr w:type="spellEnd"/>
      <w:r w:rsidRPr="00CE60CD">
        <w:rPr>
          <w:sz w:val="20"/>
          <w:szCs w:val="20"/>
          <w:lang w:eastAsia="zh-CN"/>
        </w:rPr>
        <w:t xml:space="preserve"> SA, Musa MA. Simulating the contemporaneous effects of inflation and exchange rates on economic prosperity path for Nigeria: Evidence from dynamic ARDL and KRLS techniques. FUWUKARI Journal of Social Sciences. 2024b; 3(1): 93–116.</w:t>
      </w:r>
    </w:p>
    <w:p w14:paraId="18C5F036" w14:textId="7E51EF49" w:rsidR="00BF0F78" w:rsidRPr="00CE60CD" w:rsidRDefault="00000000" w:rsidP="000335E7">
      <w:pPr>
        <w:pStyle w:val="afc"/>
        <w:numPr>
          <w:ilvl w:val="0"/>
          <w:numId w:val="2"/>
        </w:numPr>
        <w:autoSpaceDE w:val="0"/>
        <w:autoSpaceDN w:val="0"/>
        <w:adjustRightInd w:val="0"/>
        <w:snapToGrid w:val="0"/>
        <w:spacing w:after="0" w:line="288" w:lineRule="auto"/>
        <w:ind w:left="420" w:hanging="420"/>
        <w:contextualSpacing w:val="0"/>
        <w:rPr>
          <w:rFonts w:eastAsia="TimesNewRomanPSMT"/>
          <w:sz w:val="20"/>
          <w:szCs w:val="20"/>
        </w:rPr>
      </w:pPr>
      <w:proofErr w:type="spellStart"/>
      <w:r w:rsidRPr="00CE60CD">
        <w:rPr>
          <w:sz w:val="20"/>
          <w:szCs w:val="20"/>
          <w:lang w:eastAsia="zh-CN"/>
        </w:rPr>
        <w:t>Pesaran</w:t>
      </w:r>
      <w:proofErr w:type="spellEnd"/>
      <w:r w:rsidRPr="00CE60CD">
        <w:rPr>
          <w:sz w:val="20"/>
          <w:szCs w:val="20"/>
          <w:lang w:eastAsia="zh-CN"/>
        </w:rPr>
        <w:t xml:space="preserve"> MH, Shin Y, Smith RJ. Bounds testing approaches to the analysis of level relationships. Journal of Applied Econometrics. 2001; 16(3): 289–326. </w:t>
      </w:r>
      <w:proofErr w:type="spellStart"/>
      <w:r w:rsidRPr="00CE60CD">
        <w:rPr>
          <w:sz w:val="20"/>
          <w:szCs w:val="20"/>
          <w:lang w:eastAsia="zh-CN"/>
        </w:rPr>
        <w:t>doi</w:t>
      </w:r>
      <w:proofErr w:type="spellEnd"/>
      <w:r w:rsidRPr="00CE60CD">
        <w:rPr>
          <w:sz w:val="20"/>
          <w:szCs w:val="20"/>
          <w:lang w:eastAsia="zh-CN"/>
        </w:rPr>
        <w:t>: 10.1002/jae.616</w:t>
      </w:r>
    </w:p>
    <w:p w14:paraId="7C9D0788" w14:textId="1BB6839B" w:rsidR="00BF0F78" w:rsidRPr="00CE60CD" w:rsidRDefault="00000000" w:rsidP="000335E7">
      <w:pPr>
        <w:pStyle w:val="afc"/>
        <w:numPr>
          <w:ilvl w:val="0"/>
          <w:numId w:val="2"/>
        </w:numPr>
        <w:autoSpaceDE w:val="0"/>
        <w:autoSpaceDN w:val="0"/>
        <w:adjustRightInd w:val="0"/>
        <w:snapToGrid w:val="0"/>
        <w:spacing w:after="0" w:line="288" w:lineRule="auto"/>
        <w:ind w:left="420" w:hanging="420"/>
        <w:contextualSpacing w:val="0"/>
        <w:rPr>
          <w:rFonts w:eastAsia="TimesNewRomanPSMT"/>
          <w:sz w:val="20"/>
          <w:szCs w:val="20"/>
        </w:rPr>
      </w:pPr>
      <w:r w:rsidRPr="00CE60CD">
        <w:rPr>
          <w:rFonts w:eastAsia="TimesNewRomanPSMT"/>
          <w:sz w:val="20"/>
          <w:szCs w:val="20"/>
        </w:rPr>
        <w:t xml:space="preserve">Engel RF, Granger CWJ. Co-integration and error correction: Representation, estimation, and testing. </w:t>
      </w:r>
      <w:proofErr w:type="spellStart"/>
      <w:r w:rsidRPr="00CE60CD">
        <w:rPr>
          <w:rFonts w:eastAsia="TimesNewRomanPSMT"/>
          <w:sz w:val="20"/>
          <w:szCs w:val="20"/>
        </w:rPr>
        <w:t>Econometrica</w:t>
      </w:r>
      <w:proofErr w:type="spellEnd"/>
      <w:r w:rsidRPr="00CE60CD">
        <w:rPr>
          <w:rFonts w:eastAsia="TimesNewRomanPSMT"/>
          <w:sz w:val="20"/>
          <w:szCs w:val="20"/>
        </w:rPr>
        <w:t>: Journal of the Econometric Society.</w:t>
      </w:r>
      <w:r w:rsidR="008B36A3">
        <w:rPr>
          <w:rFonts w:hint="eastAsia"/>
          <w:sz w:val="20"/>
          <w:szCs w:val="20"/>
          <w:lang w:eastAsia="zh-CN"/>
        </w:rPr>
        <w:t xml:space="preserve"> </w:t>
      </w:r>
      <w:r w:rsidRPr="00CE60CD">
        <w:rPr>
          <w:rFonts w:eastAsia="TimesNewRomanPSMT"/>
          <w:sz w:val="20"/>
          <w:szCs w:val="20"/>
        </w:rPr>
        <w:t>1987; 251-276.</w:t>
      </w:r>
    </w:p>
    <w:p w14:paraId="2F36DAED" w14:textId="05A46011" w:rsidR="00BF0F78" w:rsidRPr="00CE60CD" w:rsidRDefault="00000000" w:rsidP="000335E7">
      <w:pPr>
        <w:pStyle w:val="afc"/>
        <w:widowControl w:val="0"/>
        <w:numPr>
          <w:ilvl w:val="0"/>
          <w:numId w:val="2"/>
        </w:numPr>
        <w:overflowPunct w:val="0"/>
        <w:adjustRightInd w:val="0"/>
        <w:snapToGrid w:val="0"/>
        <w:spacing w:after="0" w:line="288" w:lineRule="auto"/>
        <w:ind w:left="420" w:hanging="420"/>
        <w:contextualSpacing w:val="0"/>
        <w:rPr>
          <w:sz w:val="20"/>
          <w:szCs w:val="20"/>
          <w:lang w:eastAsia="zh-CN"/>
        </w:rPr>
      </w:pPr>
      <w:proofErr w:type="spellStart"/>
      <w:r w:rsidRPr="00CE60CD">
        <w:rPr>
          <w:sz w:val="20"/>
          <w:szCs w:val="20"/>
          <w:lang w:eastAsia="zh-CN"/>
        </w:rPr>
        <w:t>Aladejare</w:t>
      </w:r>
      <w:proofErr w:type="spellEnd"/>
      <w:r w:rsidRPr="00CE60CD">
        <w:rPr>
          <w:sz w:val="20"/>
          <w:szCs w:val="20"/>
          <w:lang w:eastAsia="zh-CN"/>
        </w:rPr>
        <w:t xml:space="preserve"> SA. How significant is trade, macroeconomic management, and economic integration for foreign indebtedness in West African countries? The Journal of International Trade &amp; Economic Development. 2023b; 32(8): 1249–1270. </w:t>
      </w:r>
      <w:proofErr w:type="spellStart"/>
      <w:r w:rsidRPr="00CE60CD">
        <w:rPr>
          <w:sz w:val="20"/>
          <w:szCs w:val="20"/>
          <w:lang w:eastAsia="zh-CN"/>
        </w:rPr>
        <w:t>doi</w:t>
      </w:r>
      <w:proofErr w:type="spellEnd"/>
      <w:r w:rsidRPr="00CE60CD">
        <w:rPr>
          <w:sz w:val="20"/>
          <w:szCs w:val="20"/>
          <w:lang w:eastAsia="zh-CN"/>
        </w:rPr>
        <w:t>: 10.1080/09638199.2023.2253478</w:t>
      </w:r>
    </w:p>
    <w:p w14:paraId="5A70E26C" w14:textId="41F98029" w:rsidR="00BF0F78" w:rsidRPr="00CE60CD" w:rsidRDefault="00000000" w:rsidP="000335E7">
      <w:pPr>
        <w:pStyle w:val="afc"/>
        <w:widowControl w:val="0"/>
        <w:numPr>
          <w:ilvl w:val="0"/>
          <w:numId w:val="2"/>
        </w:numPr>
        <w:overflowPunct w:val="0"/>
        <w:adjustRightInd w:val="0"/>
        <w:snapToGrid w:val="0"/>
        <w:spacing w:after="0" w:line="288" w:lineRule="auto"/>
        <w:ind w:left="420" w:hanging="420"/>
        <w:contextualSpacing w:val="0"/>
        <w:rPr>
          <w:sz w:val="20"/>
          <w:szCs w:val="20"/>
          <w:lang w:eastAsia="zh-CN"/>
        </w:rPr>
      </w:pPr>
      <w:proofErr w:type="spellStart"/>
      <w:r w:rsidRPr="00CE60CD">
        <w:rPr>
          <w:sz w:val="20"/>
          <w:szCs w:val="20"/>
          <w:lang w:eastAsia="zh-CN"/>
        </w:rPr>
        <w:t>Aladejare</w:t>
      </w:r>
      <w:proofErr w:type="spellEnd"/>
      <w:r w:rsidRPr="00CE60CD">
        <w:rPr>
          <w:sz w:val="20"/>
          <w:szCs w:val="20"/>
          <w:lang w:eastAsia="zh-CN"/>
        </w:rPr>
        <w:t xml:space="preserve"> SA, Ebi BO, Ubi SP. Quality of life and the fundamental issues to be addressed in West African countries. Journal of Economic Cooperation and Development.</w:t>
      </w:r>
      <w:r w:rsidR="008B36A3">
        <w:rPr>
          <w:rFonts w:hint="eastAsia"/>
          <w:sz w:val="20"/>
          <w:szCs w:val="20"/>
          <w:lang w:eastAsia="zh-CN"/>
        </w:rPr>
        <w:t xml:space="preserve"> </w:t>
      </w:r>
      <w:r w:rsidRPr="00CE60CD">
        <w:rPr>
          <w:sz w:val="20"/>
          <w:szCs w:val="20"/>
          <w:lang w:eastAsia="zh-CN"/>
        </w:rPr>
        <w:t>2022; 43(2): 225–252.</w:t>
      </w:r>
    </w:p>
    <w:sectPr w:rsidR="00BF0F78" w:rsidRPr="00CE60CD">
      <w:headerReference w:type="default" r:id="rId14"/>
      <w:footerReference w:type="default" r:id="rId15"/>
      <w:headerReference w:type="first" r:id="rId16"/>
      <w:footerReference w:type="first" r:id="rId17"/>
      <w:pgSz w:w="11907" w:h="16839"/>
      <w:pgMar w:top="1361" w:right="720" w:bottom="1134" w:left="720"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D85B6" w14:textId="77777777" w:rsidR="00EC40A8" w:rsidRPr="009B1BB3" w:rsidRDefault="00EC40A8">
      <w:pPr>
        <w:spacing w:line="240" w:lineRule="auto"/>
      </w:pPr>
      <w:r w:rsidRPr="009B1BB3">
        <w:separator/>
      </w:r>
    </w:p>
  </w:endnote>
  <w:endnote w:type="continuationSeparator" w:id="0">
    <w:p w14:paraId="611A4400" w14:textId="77777777" w:rsidR="00EC40A8" w:rsidRPr="009B1BB3" w:rsidRDefault="00EC40A8">
      <w:pPr>
        <w:spacing w:line="240" w:lineRule="auto"/>
      </w:pPr>
      <w:r w:rsidRPr="009B1BB3">
        <w:continuationSeparator/>
      </w:r>
    </w:p>
  </w:endnote>
  <w:endnote w:type="continuationNotice" w:id="1">
    <w:p w14:paraId="34BBE476" w14:textId="77777777" w:rsidR="00EC40A8" w:rsidRPr="009B1BB3" w:rsidRDefault="00EC40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3 Times AzLat">
    <w:altName w:val="Cambria"/>
    <w:charset w:val="CC"/>
    <w:family w:val="roman"/>
    <w:pitch w:val="default"/>
    <w:sig w:usb0="00000000"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DNENB B+ Gulliver">
    <w:altName w:val="Cambria"/>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MT">
    <w:altName w:val="MS Gothic"/>
    <w:charset w:val="80"/>
    <w:family w:val="auto"/>
    <w:pitch w:val="default"/>
    <w:sig w:usb0="00000000" w:usb1="00000000" w:usb2="00000010" w:usb3="00000000" w:csb0="0002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889664"/>
    </w:sdtPr>
    <w:sdtContent>
      <w:p w14:paraId="60D3880F" w14:textId="77777777" w:rsidR="00BF0F78" w:rsidRPr="009B1BB3" w:rsidRDefault="00000000">
        <w:pPr>
          <w:pStyle w:val="a9"/>
          <w:adjustRightInd w:val="0"/>
          <w:snapToGrid w:val="0"/>
          <w:jc w:val="center"/>
        </w:pPr>
        <w:r w:rsidRPr="009B1BB3">
          <w:rPr>
            <w:sz w:val="16"/>
            <w:szCs w:val="16"/>
          </w:rPr>
          <w:fldChar w:fldCharType="begin"/>
        </w:r>
        <w:r w:rsidRPr="009B1BB3">
          <w:rPr>
            <w:sz w:val="16"/>
            <w:szCs w:val="16"/>
          </w:rPr>
          <w:instrText>PAGE  \* Arabic  \* MERGEFORMAT</w:instrText>
        </w:r>
        <w:r w:rsidRPr="009B1BB3">
          <w:rPr>
            <w:sz w:val="16"/>
            <w:szCs w:val="16"/>
          </w:rPr>
          <w:fldChar w:fldCharType="separate"/>
        </w:r>
        <w:r w:rsidRPr="009B1BB3">
          <w:rPr>
            <w:sz w:val="16"/>
            <w:szCs w:val="16"/>
            <w:lang w:eastAsia="zh-CN"/>
          </w:rPr>
          <w:t>18</w:t>
        </w:r>
        <w:r w:rsidRPr="009B1BB3">
          <w:rPr>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881C8" w14:textId="77777777" w:rsidR="00BF0F78" w:rsidRPr="009B1BB3" w:rsidRDefault="00000000">
    <w:pPr>
      <w:pStyle w:val="a9"/>
      <w:adjustRightInd w:val="0"/>
      <w:snapToGrid w:val="0"/>
      <w:jc w:val="center"/>
      <w:rPr>
        <w:sz w:val="16"/>
        <w:szCs w:val="16"/>
      </w:rPr>
    </w:pPr>
    <w:r w:rsidRPr="009B1BB3">
      <w:rPr>
        <w:sz w:val="16"/>
        <w:szCs w:val="16"/>
      </w:rPr>
      <w:fldChar w:fldCharType="begin"/>
    </w:r>
    <w:r w:rsidRPr="009B1BB3">
      <w:rPr>
        <w:sz w:val="16"/>
        <w:szCs w:val="16"/>
      </w:rPr>
      <w:instrText>PAGE  \* Arabic  \* MERGEFORMAT</w:instrText>
    </w:r>
    <w:r w:rsidRPr="009B1BB3">
      <w:rPr>
        <w:sz w:val="16"/>
        <w:szCs w:val="16"/>
      </w:rPr>
      <w:fldChar w:fldCharType="separate"/>
    </w:r>
    <w:r w:rsidRPr="009B1BB3">
      <w:rPr>
        <w:sz w:val="16"/>
        <w:szCs w:val="16"/>
        <w:lang w:eastAsia="zh-CN"/>
      </w:rPr>
      <w:t>1</w:t>
    </w:r>
    <w:r w:rsidRPr="009B1BB3">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60E5D" w14:textId="77777777" w:rsidR="00EC40A8" w:rsidRPr="009B1BB3" w:rsidRDefault="00EC40A8">
      <w:pPr>
        <w:spacing w:after="0"/>
      </w:pPr>
      <w:r w:rsidRPr="009B1BB3">
        <w:separator/>
      </w:r>
    </w:p>
  </w:footnote>
  <w:footnote w:type="continuationSeparator" w:id="0">
    <w:p w14:paraId="05DA60E8" w14:textId="77777777" w:rsidR="00EC40A8" w:rsidRPr="009B1BB3" w:rsidRDefault="00EC40A8">
      <w:pPr>
        <w:spacing w:after="0"/>
      </w:pPr>
      <w:r w:rsidRPr="009B1BB3">
        <w:continuationSeparator/>
      </w:r>
    </w:p>
  </w:footnote>
  <w:footnote w:type="continuationNotice" w:id="1">
    <w:p w14:paraId="78957D13" w14:textId="77777777" w:rsidR="00EC40A8" w:rsidRPr="009B1BB3" w:rsidRDefault="00EC40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79976" w14:textId="1858E785" w:rsidR="00BF0F78" w:rsidRPr="009B1BB3" w:rsidRDefault="00000000">
    <w:pPr>
      <w:tabs>
        <w:tab w:val="center" w:pos="4677"/>
        <w:tab w:val="right" w:pos="9355"/>
      </w:tabs>
      <w:adjustRightInd w:val="0"/>
      <w:snapToGrid w:val="0"/>
      <w:spacing w:after="0" w:line="240" w:lineRule="auto"/>
      <w:jc w:val="center"/>
      <w:rPr>
        <w:rFonts w:eastAsia="等线"/>
        <w:snapToGrid w:val="0"/>
        <w:color w:val="000000" w:themeColor="text1"/>
        <w:sz w:val="16"/>
        <w:szCs w:val="16"/>
      </w:rPr>
    </w:pPr>
    <w:bookmarkStart w:id="12" w:name="_Hlk153804184"/>
    <w:bookmarkStart w:id="13" w:name="_Hlk153804105"/>
    <w:bookmarkStart w:id="14" w:name="_Hlk153804190"/>
    <w:bookmarkStart w:id="15" w:name="_Hlk153804191"/>
    <w:bookmarkStart w:id="16" w:name="_Hlk153804185"/>
    <w:bookmarkStart w:id="17" w:name="_Hlk153804104"/>
    <w:bookmarkStart w:id="18" w:name="_Hlk153804106"/>
    <w:bookmarkStart w:id="19" w:name="_Hlk153804107"/>
    <w:r w:rsidRPr="009B1BB3">
      <w:rPr>
        <w:rFonts w:eastAsia="等线"/>
        <w:bCs/>
        <w:i/>
        <w:iCs/>
        <w:snapToGrid w:val="0"/>
        <w:color w:val="000000" w:themeColor="text1"/>
        <w:sz w:val="16"/>
        <w:szCs w:val="16"/>
      </w:rPr>
      <w:t>Forum for Economic and Financial Studies</w:t>
    </w:r>
    <w:r w:rsidRPr="009B1BB3">
      <w:rPr>
        <w:rFonts w:eastAsia="等线"/>
        <w:snapToGrid w:val="0"/>
        <w:color w:val="000000" w:themeColor="text1"/>
        <w:sz w:val="16"/>
        <w:szCs w:val="16"/>
      </w:rPr>
      <w:t xml:space="preserve"> 2024, </w:t>
    </w:r>
    <w:r w:rsidR="009B1BB3" w:rsidRPr="009B1BB3">
      <w:rPr>
        <w:rFonts w:eastAsia="等线" w:hint="eastAsia"/>
        <w:snapToGrid w:val="0"/>
        <w:color w:val="000000" w:themeColor="text1"/>
        <w:sz w:val="16"/>
        <w:szCs w:val="16"/>
        <w:lang w:eastAsia="zh-CN"/>
      </w:rPr>
      <w:t>2</w:t>
    </w:r>
    <w:r w:rsidRPr="009B1BB3">
      <w:rPr>
        <w:rFonts w:eastAsia="等线"/>
        <w:snapToGrid w:val="0"/>
        <w:color w:val="000000" w:themeColor="text1"/>
        <w:sz w:val="16"/>
        <w:szCs w:val="16"/>
      </w:rPr>
      <w:t>(</w:t>
    </w:r>
    <w:r w:rsidR="009B1BB3" w:rsidRPr="009B1BB3">
      <w:rPr>
        <w:rFonts w:eastAsia="等线" w:hint="eastAsia"/>
        <w:snapToGrid w:val="0"/>
        <w:color w:val="000000" w:themeColor="text1"/>
        <w:sz w:val="16"/>
        <w:szCs w:val="16"/>
        <w:lang w:eastAsia="zh-CN"/>
      </w:rPr>
      <w:t>3</w:t>
    </w:r>
    <w:r w:rsidRPr="009B1BB3">
      <w:rPr>
        <w:rFonts w:eastAsia="等线"/>
        <w:snapToGrid w:val="0"/>
        <w:color w:val="000000" w:themeColor="text1"/>
        <w:sz w:val="16"/>
        <w:szCs w:val="16"/>
      </w:rPr>
      <w:t xml:space="preserve">), </w:t>
    </w:r>
    <w:r w:rsidRPr="009B1BB3">
      <w:rPr>
        <w:rFonts w:eastAsia="等线"/>
        <w:snapToGrid w:val="0"/>
        <w:color w:val="000000" w:themeColor="text1"/>
        <w:sz w:val="16"/>
        <w:szCs w:val="16"/>
        <w:lang w:eastAsia="zh-CN"/>
      </w:rPr>
      <w:t>1806</w:t>
    </w:r>
    <w:r w:rsidRPr="009B1BB3">
      <w:rPr>
        <w:rFonts w:eastAsia="等线"/>
        <w:snapToGrid w:val="0"/>
        <w:color w:val="000000" w:themeColor="text1"/>
        <w:sz w:val="16"/>
        <w:szCs w:val="16"/>
      </w:rPr>
      <w:t>.</w:t>
    </w:r>
  </w:p>
  <w:bookmarkEnd w:id="12"/>
  <w:bookmarkEnd w:id="13"/>
  <w:bookmarkEnd w:id="14"/>
  <w:bookmarkEnd w:id="15"/>
  <w:bookmarkEnd w:id="16"/>
  <w:bookmarkEnd w:id="17"/>
  <w:bookmarkEnd w:id="18"/>
  <w:bookmarkEnd w:id="19"/>
  <w:p w14:paraId="435D9A03" w14:textId="77777777" w:rsidR="00BF0F78" w:rsidRPr="009B1BB3" w:rsidRDefault="00BF0F78">
    <w:pPr>
      <w:pStyle w:val="ab"/>
      <w:pBdr>
        <w:bottom w:val="single" w:sz="4" w:space="1" w:color="auto"/>
      </w:pBdr>
      <w:adjustRightInd w:val="0"/>
      <w:snapToGrid w:val="0"/>
      <w:spacing w:after="360" w:line="6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78E76" w14:textId="4FEB0EF6" w:rsidR="00BF0F78" w:rsidRPr="009B1BB3" w:rsidRDefault="00000000">
    <w:pPr>
      <w:tabs>
        <w:tab w:val="center" w:pos="4677"/>
        <w:tab w:val="right" w:pos="9355"/>
      </w:tabs>
      <w:adjustRightInd w:val="0"/>
      <w:snapToGrid w:val="0"/>
      <w:spacing w:after="0" w:line="240" w:lineRule="auto"/>
      <w:jc w:val="right"/>
      <w:rPr>
        <w:rFonts w:eastAsia="等线"/>
        <w:snapToGrid w:val="0"/>
        <w:color w:val="000000" w:themeColor="text1"/>
        <w:sz w:val="16"/>
        <w:szCs w:val="16"/>
      </w:rPr>
    </w:pPr>
    <w:r w:rsidRPr="009B1BB3">
      <w:rPr>
        <w:rFonts w:eastAsia="等线"/>
        <w:bCs/>
        <w:i/>
        <w:iCs/>
        <w:noProof/>
        <w:snapToGrid w:val="0"/>
        <w:color w:val="000000" w:themeColor="text1"/>
        <w:sz w:val="20"/>
        <w:szCs w:val="20"/>
        <w:lang w:eastAsia="en-GB"/>
      </w:rPr>
      <w:drawing>
        <wp:anchor distT="0" distB="0" distL="114300" distR="114300" simplePos="0" relativeHeight="251660288" behindDoc="0" locked="0" layoutInCell="1" allowOverlap="1" wp14:anchorId="732C2CC6" wp14:editId="00BE9C73">
          <wp:simplePos x="0" y="0"/>
          <wp:positionH relativeFrom="column">
            <wp:posOffset>51435</wp:posOffset>
          </wp:positionH>
          <wp:positionV relativeFrom="paragraph">
            <wp:posOffset>-198120</wp:posOffset>
          </wp:positionV>
          <wp:extent cx="396875" cy="395605"/>
          <wp:effectExtent l="0" t="0" r="3175" b="444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396875" cy="395605"/>
                  </a:xfrm>
                  <a:prstGeom prst="rect">
                    <a:avLst/>
                  </a:prstGeom>
                </pic:spPr>
              </pic:pic>
            </a:graphicData>
          </a:graphic>
        </wp:anchor>
      </w:drawing>
    </w:r>
    <w:r w:rsidRPr="009B1BB3">
      <w:rPr>
        <w:rFonts w:eastAsia="等线"/>
        <w:bCs/>
        <w:i/>
        <w:iCs/>
        <w:snapToGrid w:val="0"/>
        <w:color w:val="000000" w:themeColor="text1"/>
        <w:sz w:val="16"/>
        <w:szCs w:val="16"/>
      </w:rPr>
      <w:t>Forum for Economic and Financial Studies</w:t>
    </w:r>
    <w:r w:rsidRPr="009B1BB3">
      <w:rPr>
        <w:rFonts w:eastAsia="等线"/>
        <w:snapToGrid w:val="0"/>
        <w:color w:val="000000" w:themeColor="text1"/>
        <w:sz w:val="16"/>
        <w:szCs w:val="16"/>
      </w:rPr>
      <w:t xml:space="preserve"> 2024, </w:t>
    </w:r>
    <w:r w:rsidR="009B1BB3" w:rsidRPr="009B1BB3">
      <w:rPr>
        <w:rFonts w:eastAsia="等线" w:hint="eastAsia"/>
        <w:snapToGrid w:val="0"/>
        <w:color w:val="000000" w:themeColor="text1"/>
        <w:sz w:val="16"/>
        <w:szCs w:val="16"/>
        <w:lang w:eastAsia="zh-CN"/>
      </w:rPr>
      <w:t>2</w:t>
    </w:r>
    <w:r w:rsidRPr="009B1BB3">
      <w:rPr>
        <w:rFonts w:eastAsia="等线"/>
        <w:snapToGrid w:val="0"/>
        <w:color w:val="000000" w:themeColor="text1"/>
        <w:sz w:val="16"/>
        <w:szCs w:val="16"/>
      </w:rPr>
      <w:t>(</w:t>
    </w:r>
    <w:r w:rsidR="009B1BB3" w:rsidRPr="009B1BB3">
      <w:rPr>
        <w:rFonts w:eastAsia="等线" w:hint="eastAsia"/>
        <w:snapToGrid w:val="0"/>
        <w:color w:val="000000" w:themeColor="text1"/>
        <w:sz w:val="16"/>
        <w:szCs w:val="16"/>
        <w:lang w:eastAsia="zh-CN"/>
      </w:rPr>
      <w:t>3</w:t>
    </w:r>
    <w:r w:rsidRPr="009B1BB3">
      <w:rPr>
        <w:rFonts w:eastAsia="等线"/>
        <w:snapToGrid w:val="0"/>
        <w:color w:val="000000" w:themeColor="text1"/>
        <w:sz w:val="16"/>
        <w:szCs w:val="16"/>
      </w:rPr>
      <w:t xml:space="preserve">), </w:t>
    </w:r>
    <w:r w:rsidRPr="009B1BB3">
      <w:rPr>
        <w:rFonts w:eastAsia="等线"/>
        <w:snapToGrid w:val="0"/>
        <w:color w:val="000000" w:themeColor="text1"/>
        <w:sz w:val="16"/>
        <w:szCs w:val="16"/>
        <w:lang w:eastAsia="zh-CN"/>
      </w:rPr>
      <w:t>1806</w:t>
    </w:r>
    <w:r w:rsidRPr="009B1BB3">
      <w:rPr>
        <w:rFonts w:eastAsia="等线"/>
        <w:snapToGrid w:val="0"/>
        <w:color w:val="000000" w:themeColor="text1"/>
        <w:sz w:val="16"/>
        <w:szCs w:val="16"/>
      </w:rPr>
      <w:t>.</w:t>
    </w:r>
  </w:p>
  <w:p w14:paraId="65A52315" w14:textId="6D2E3BE0" w:rsidR="00BF0F78" w:rsidRPr="009B1BB3" w:rsidRDefault="00000000">
    <w:pPr>
      <w:tabs>
        <w:tab w:val="center" w:pos="4677"/>
        <w:tab w:val="right" w:pos="9355"/>
      </w:tabs>
      <w:adjustRightInd w:val="0"/>
      <w:snapToGrid w:val="0"/>
      <w:spacing w:after="0" w:line="240" w:lineRule="auto"/>
      <w:jc w:val="right"/>
      <w:rPr>
        <w:rFonts w:eastAsia="等线"/>
        <w:bCs/>
        <w:i/>
        <w:iCs/>
        <w:snapToGrid w:val="0"/>
        <w:color w:val="000000" w:themeColor="text1"/>
        <w:sz w:val="20"/>
        <w:szCs w:val="20"/>
        <w:lang w:eastAsia="zh-CN"/>
      </w:rPr>
    </w:pPr>
    <w:r w:rsidRPr="009B1BB3">
      <w:rPr>
        <w:rFonts w:eastAsia="等线"/>
        <w:snapToGrid w:val="0"/>
        <w:color w:val="000000" w:themeColor="text1"/>
        <w:sz w:val="16"/>
        <w:szCs w:val="16"/>
      </w:rPr>
      <w:t>https://doi.org/10.59400/fe</w:t>
    </w:r>
    <w:r w:rsidR="004121F9">
      <w:rPr>
        <w:rFonts w:eastAsia="等线" w:hint="eastAsia"/>
        <w:snapToGrid w:val="0"/>
        <w:color w:val="000000" w:themeColor="text1"/>
        <w:sz w:val="16"/>
        <w:szCs w:val="16"/>
        <w:lang w:eastAsia="zh-CN"/>
      </w:rPr>
      <w:t>f</w:t>
    </w:r>
    <w:r w:rsidRPr="009B1BB3">
      <w:rPr>
        <w:rFonts w:eastAsia="等线"/>
        <w:snapToGrid w:val="0"/>
        <w:color w:val="000000" w:themeColor="text1"/>
        <w:sz w:val="16"/>
        <w:szCs w:val="16"/>
      </w:rPr>
      <w:t>s</w:t>
    </w:r>
    <w:r w:rsidRPr="009B1BB3">
      <w:rPr>
        <w:rFonts w:eastAsia="等线"/>
        <w:snapToGrid w:val="0"/>
        <w:color w:val="000000" w:themeColor="text1"/>
        <w:sz w:val="16"/>
        <w:szCs w:val="16"/>
        <w:lang w:eastAsia="zh-CN"/>
      </w:rPr>
      <w:t>1806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05566"/>
    <w:multiLevelType w:val="hybridMultilevel"/>
    <w:tmpl w:val="E94ED704"/>
    <w:lvl w:ilvl="0" w:tplc="5B82138A">
      <w:start w:val="1"/>
      <w:numFmt w:val="decimal"/>
      <w:lvlText w:val="%1."/>
      <w:lvlJc w:val="left"/>
      <w:pPr>
        <w:ind w:left="360" w:hanging="360"/>
      </w:pPr>
      <w:rPr>
        <w:rFonts w:hint="default"/>
        <w:b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4979107E"/>
    <w:multiLevelType w:val="singleLevel"/>
    <w:tmpl w:val="4979107E"/>
    <w:lvl w:ilvl="0">
      <w:start w:val="3"/>
      <w:numFmt w:val="decimal"/>
      <w:suff w:val="space"/>
      <w:lvlText w:val="%1."/>
      <w:lvlJc w:val="left"/>
    </w:lvl>
  </w:abstractNum>
  <w:abstractNum w:abstractNumId="2" w15:restartNumberingAfterBreak="0">
    <w:nsid w:val="7D796B2A"/>
    <w:multiLevelType w:val="hybridMultilevel"/>
    <w:tmpl w:val="F4061DF0"/>
    <w:lvl w:ilvl="0" w:tplc="C404501A">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00499975">
    <w:abstractNumId w:val="1"/>
  </w:num>
  <w:num w:numId="2" w16cid:durableId="1192718820">
    <w:abstractNumId w:val="2"/>
  </w:num>
  <w:num w:numId="3" w16cid:durableId="1402169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bordersDoNotSurroundHeader/>
  <w:bordersDoNotSurroundFooter/>
  <w:proofState w:spelling="clean" w:grammar="clean"/>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3MDI3MjI3NjcxNjRS0lEKTi0uzszPAykwNqkFADoM/XstAAAA"/>
  </w:docVars>
  <w:rsids>
    <w:rsidRoot w:val="00E845D5"/>
    <w:rsid w:val="000015BC"/>
    <w:rsid w:val="00001D81"/>
    <w:rsid w:val="0000200E"/>
    <w:rsid w:val="000034D7"/>
    <w:rsid w:val="00003737"/>
    <w:rsid w:val="00003907"/>
    <w:rsid w:val="00003A83"/>
    <w:rsid w:val="000040FC"/>
    <w:rsid w:val="0000423D"/>
    <w:rsid w:val="00004C08"/>
    <w:rsid w:val="0000505C"/>
    <w:rsid w:val="0000723E"/>
    <w:rsid w:val="00015DF9"/>
    <w:rsid w:val="00016E58"/>
    <w:rsid w:val="000201B1"/>
    <w:rsid w:val="00023BC7"/>
    <w:rsid w:val="0002402B"/>
    <w:rsid w:val="00026E23"/>
    <w:rsid w:val="00027F26"/>
    <w:rsid w:val="000335E7"/>
    <w:rsid w:val="00033A91"/>
    <w:rsid w:val="00033D59"/>
    <w:rsid w:val="00034DD2"/>
    <w:rsid w:val="00036305"/>
    <w:rsid w:val="00036EC4"/>
    <w:rsid w:val="000417A5"/>
    <w:rsid w:val="00042A6A"/>
    <w:rsid w:val="000445C5"/>
    <w:rsid w:val="000468B8"/>
    <w:rsid w:val="00052BFA"/>
    <w:rsid w:val="000572D3"/>
    <w:rsid w:val="00057EB7"/>
    <w:rsid w:val="000617FE"/>
    <w:rsid w:val="0006184A"/>
    <w:rsid w:val="00063E78"/>
    <w:rsid w:val="000702FE"/>
    <w:rsid w:val="00070C56"/>
    <w:rsid w:val="00071401"/>
    <w:rsid w:val="00072629"/>
    <w:rsid w:val="0007412A"/>
    <w:rsid w:val="00075BF5"/>
    <w:rsid w:val="0007708A"/>
    <w:rsid w:val="00077B54"/>
    <w:rsid w:val="00080E55"/>
    <w:rsid w:val="0008344C"/>
    <w:rsid w:val="00086669"/>
    <w:rsid w:val="00086A24"/>
    <w:rsid w:val="0009237E"/>
    <w:rsid w:val="00092E50"/>
    <w:rsid w:val="000938EF"/>
    <w:rsid w:val="00096137"/>
    <w:rsid w:val="00097ABD"/>
    <w:rsid w:val="000A042C"/>
    <w:rsid w:val="000A06EA"/>
    <w:rsid w:val="000A2820"/>
    <w:rsid w:val="000A35D2"/>
    <w:rsid w:val="000A5590"/>
    <w:rsid w:val="000B1204"/>
    <w:rsid w:val="000B1A72"/>
    <w:rsid w:val="000B51E2"/>
    <w:rsid w:val="000C097C"/>
    <w:rsid w:val="000C274B"/>
    <w:rsid w:val="000C56C0"/>
    <w:rsid w:val="000C76C8"/>
    <w:rsid w:val="000D384A"/>
    <w:rsid w:val="000D3954"/>
    <w:rsid w:val="000D42FE"/>
    <w:rsid w:val="000D71C9"/>
    <w:rsid w:val="000D7A63"/>
    <w:rsid w:val="000E0E4E"/>
    <w:rsid w:val="000E264E"/>
    <w:rsid w:val="000E2E63"/>
    <w:rsid w:val="000E412E"/>
    <w:rsid w:val="000E6169"/>
    <w:rsid w:val="000E62C5"/>
    <w:rsid w:val="000F167D"/>
    <w:rsid w:val="000F5616"/>
    <w:rsid w:val="00100403"/>
    <w:rsid w:val="0010420E"/>
    <w:rsid w:val="00104473"/>
    <w:rsid w:val="001057BE"/>
    <w:rsid w:val="0010637F"/>
    <w:rsid w:val="00111DFF"/>
    <w:rsid w:val="00114BE9"/>
    <w:rsid w:val="00115FBD"/>
    <w:rsid w:val="00120604"/>
    <w:rsid w:val="00121506"/>
    <w:rsid w:val="0012184B"/>
    <w:rsid w:val="0012290C"/>
    <w:rsid w:val="001251A4"/>
    <w:rsid w:val="001253C2"/>
    <w:rsid w:val="001264ED"/>
    <w:rsid w:val="00131629"/>
    <w:rsid w:val="0013391C"/>
    <w:rsid w:val="001375F5"/>
    <w:rsid w:val="001379FD"/>
    <w:rsid w:val="00141A2D"/>
    <w:rsid w:val="00142AAD"/>
    <w:rsid w:val="00143422"/>
    <w:rsid w:val="00152A0C"/>
    <w:rsid w:val="0015323B"/>
    <w:rsid w:val="00154E7E"/>
    <w:rsid w:val="001603F5"/>
    <w:rsid w:val="00161FD8"/>
    <w:rsid w:val="00162B54"/>
    <w:rsid w:val="001631AE"/>
    <w:rsid w:val="00163F74"/>
    <w:rsid w:val="00164200"/>
    <w:rsid w:val="0016427E"/>
    <w:rsid w:val="00170421"/>
    <w:rsid w:val="001712DD"/>
    <w:rsid w:val="0017179C"/>
    <w:rsid w:val="00171A01"/>
    <w:rsid w:val="001770C5"/>
    <w:rsid w:val="0017736F"/>
    <w:rsid w:val="00180198"/>
    <w:rsid w:val="00180406"/>
    <w:rsid w:val="00182767"/>
    <w:rsid w:val="00182C30"/>
    <w:rsid w:val="00184EA4"/>
    <w:rsid w:val="0018652C"/>
    <w:rsid w:val="00186A36"/>
    <w:rsid w:val="00190216"/>
    <w:rsid w:val="00194017"/>
    <w:rsid w:val="00196158"/>
    <w:rsid w:val="001964FF"/>
    <w:rsid w:val="00196C92"/>
    <w:rsid w:val="001A0D45"/>
    <w:rsid w:val="001A1AFE"/>
    <w:rsid w:val="001A55F8"/>
    <w:rsid w:val="001A6321"/>
    <w:rsid w:val="001A67D1"/>
    <w:rsid w:val="001B273F"/>
    <w:rsid w:val="001B36E6"/>
    <w:rsid w:val="001B5C56"/>
    <w:rsid w:val="001B7A69"/>
    <w:rsid w:val="001C2030"/>
    <w:rsid w:val="001C3889"/>
    <w:rsid w:val="001C53D9"/>
    <w:rsid w:val="001D366A"/>
    <w:rsid w:val="001D4CB5"/>
    <w:rsid w:val="001D7960"/>
    <w:rsid w:val="001E5810"/>
    <w:rsid w:val="001F3300"/>
    <w:rsid w:val="001F472C"/>
    <w:rsid w:val="001F4833"/>
    <w:rsid w:val="001F6E6B"/>
    <w:rsid w:val="00200FAA"/>
    <w:rsid w:val="002025C8"/>
    <w:rsid w:val="00203DE2"/>
    <w:rsid w:val="00204086"/>
    <w:rsid w:val="00205038"/>
    <w:rsid w:val="00207535"/>
    <w:rsid w:val="00210975"/>
    <w:rsid w:val="00212814"/>
    <w:rsid w:val="002137CB"/>
    <w:rsid w:val="002168E1"/>
    <w:rsid w:val="00216E13"/>
    <w:rsid w:val="00225117"/>
    <w:rsid w:val="002271D2"/>
    <w:rsid w:val="0023084A"/>
    <w:rsid w:val="00230F2F"/>
    <w:rsid w:val="002318A4"/>
    <w:rsid w:val="00234974"/>
    <w:rsid w:val="00234D24"/>
    <w:rsid w:val="0023541D"/>
    <w:rsid w:val="00237C29"/>
    <w:rsid w:val="0024250A"/>
    <w:rsid w:val="002466AB"/>
    <w:rsid w:val="00246820"/>
    <w:rsid w:val="00246F91"/>
    <w:rsid w:val="00250C4B"/>
    <w:rsid w:val="00250EF0"/>
    <w:rsid w:val="00256039"/>
    <w:rsid w:val="002576B8"/>
    <w:rsid w:val="0026024B"/>
    <w:rsid w:val="00261915"/>
    <w:rsid w:val="00261B21"/>
    <w:rsid w:val="00264303"/>
    <w:rsid w:val="0026460B"/>
    <w:rsid w:val="002653C2"/>
    <w:rsid w:val="00270213"/>
    <w:rsid w:val="002721ED"/>
    <w:rsid w:val="00275730"/>
    <w:rsid w:val="0028239C"/>
    <w:rsid w:val="00287DAB"/>
    <w:rsid w:val="002913F0"/>
    <w:rsid w:val="002948C6"/>
    <w:rsid w:val="002952FA"/>
    <w:rsid w:val="00297241"/>
    <w:rsid w:val="002A0FEC"/>
    <w:rsid w:val="002A1586"/>
    <w:rsid w:val="002A3E33"/>
    <w:rsid w:val="002A42BC"/>
    <w:rsid w:val="002A534D"/>
    <w:rsid w:val="002A7003"/>
    <w:rsid w:val="002A77D1"/>
    <w:rsid w:val="002B03CC"/>
    <w:rsid w:val="002B0404"/>
    <w:rsid w:val="002B2CBB"/>
    <w:rsid w:val="002B314A"/>
    <w:rsid w:val="002C2968"/>
    <w:rsid w:val="002C2F97"/>
    <w:rsid w:val="002C5E23"/>
    <w:rsid w:val="002D1A8A"/>
    <w:rsid w:val="002D37C6"/>
    <w:rsid w:val="002E00EB"/>
    <w:rsid w:val="002E0293"/>
    <w:rsid w:val="002E1124"/>
    <w:rsid w:val="002E1326"/>
    <w:rsid w:val="002E13D3"/>
    <w:rsid w:val="002E153E"/>
    <w:rsid w:val="002E1B5C"/>
    <w:rsid w:val="002E33DF"/>
    <w:rsid w:val="002E661C"/>
    <w:rsid w:val="002F0B24"/>
    <w:rsid w:val="002F1737"/>
    <w:rsid w:val="002F18D3"/>
    <w:rsid w:val="002F312F"/>
    <w:rsid w:val="002F3EA0"/>
    <w:rsid w:val="002F62B3"/>
    <w:rsid w:val="00300B84"/>
    <w:rsid w:val="00303560"/>
    <w:rsid w:val="00303E9D"/>
    <w:rsid w:val="003043ED"/>
    <w:rsid w:val="003075DF"/>
    <w:rsid w:val="0030787F"/>
    <w:rsid w:val="00310CFC"/>
    <w:rsid w:val="0031376F"/>
    <w:rsid w:val="0031698F"/>
    <w:rsid w:val="00317307"/>
    <w:rsid w:val="00317641"/>
    <w:rsid w:val="003234E7"/>
    <w:rsid w:val="00323515"/>
    <w:rsid w:val="00324817"/>
    <w:rsid w:val="003305FA"/>
    <w:rsid w:val="0033491B"/>
    <w:rsid w:val="003352E4"/>
    <w:rsid w:val="00336034"/>
    <w:rsid w:val="0033604E"/>
    <w:rsid w:val="00336F0D"/>
    <w:rsid w:val="00337BAA"/>
    <w:rsid w:val="00341D70"/>
    <w:rsid w:val="003430F2"/>
    <w:rsid w:val="003448EB"/>
    <w:rsid w:val="00344CA5"/>
    <w:rsid w:val="00350898"/>
    <w:rsid w:val="0035197F"/>
    <w:rsid w:val="00356EDC"/>
    <w:rsid w:val="00357220"/>
    <w:rsid w:val="003575C7"/>
    <w:rsid w:val="0036039E"/>
    <w:rsid w:val="00360B9B"/>
    <w:rsid w:val="00360E13"/>
    <w:rsid w:val="00361B5B"/>
    <w:rsid w:val="00362B78"/>
    <w:rsid w:val="0036494E"/>
    <w:rsid w:val="00365667"/>
    <w:rsid w:val="003707A2"/>
    <w:rsid w:val="00370A41"/>
    <w:rsid w:val="00371B97"/>
    <w:rsid w:val="00371F49"/>
    <w:rsid w:val="003743FF"/>
    <w:rsid w:val="00374AEE"/>
    <w:rsid w:val="00375542"/>
    <w:rsid w:val="00375716"/>
    <w:rsid w:val="00384873"/>
    <w:rsid w:val="00385796"/>
    <w:rsid w:val="00385A05"/>
    <w:rsid w:val="00385ADB"/>
    <w:rsid w:val="00393D10"/>
    <w:rsid w:val="00395A89"/>
    <w:rsid w:val="00396265"/>
    <w:rsid w:val="00397430"/>
    <w:rsid w:val="003A055D"/>
    <w:rsid w:val="003A1583"/>
    <w:rsid w:val="003A4712"/>
    <w:rsid w:val="003A5F43"/>
    <w:rsid w:val="003A6564"/>
    <w:rsid w:val="003B1398"/>
    <w:rsid w:val="003B79AD"/>
    <w:rsid w:val="003B7A5E"/>
    <w:rsid w:val="003C182D"/>
    <w:rsid w:val="003C1A9D"/>
    <w:rsid w:val="003C4F4A"/>
    <w:rsid w:val="003C5C2B"/>
    <w:rsid w:val="003C7F9D"/>
    <w:rsid w:val="003D10F5"/>
    <w:rsid w:val="003D3BDC"/>
    <w:rsid w:val="003D5146"/>
    <w:rsid w:val="003D70E5"/>
    <w:rsid w:val="003E1F64"/>
    <w:rsid w:val="003E264C"/>
    <w:rsid w:val="003E2D67"/>
    <w:rsid w:val="003E3B4D"/>
    <w:rsid w:val="003E3FC9"/>
    <w:rsid w:val="003E659B"/>
    <w:rsid w:val="003E6DFD"/>
    <w:rsid w:val="003E7ED7"/>
    <w:rsid w:val="003F236F"/>
    <w:rsid w:val="003F3D2F"/>
    <w:rsid w:val="003F3DFA"/>
    <w:rsid w:val="003F4171"/>
    <w:rsid w:val="003F6EA1"/>
    <w:rsid w:val="003F7102"/>
    <w:rsid w:val="00401202"/>
    <w:rsid w:val="00402D38"/>
    <w:rsid w:val="00403E31"/>
    <w:rsid w:val="00404EFF"/>
    <w:rsid w:val="00405B07"/>
    <w:rsid w:val="00405EAB"/>
    <w:rsid w:val="0040625B"/>
    <w:rsid w:val="00407C06"/>
    <w:rsid w:val="00407C77"/>
    <w:rsid w:val="00410BFA"/>
    <w:rsid w:val="004110DE"/>
    <w:rsid w:val="00411AF4"/>
    <w:rsid w:val="004121F9"/>
    <w:rsid w:val="004143C0"/>
    <w:rsid w:val="00416C5D"/>
    <w:rsid w:val="00417982"/>
    <w:rsid w:val="00424E8F"/>
    <w:rsid w:val="00427353"/>
    <w:rsid w:val="004275F9"/>
    <w:rsid w:val="00431A33"/>
    <w:rsid w:val="00433C9D"/>
    <w:rsid w:val="00435ECC"/>
    <w:rsid w:val="004361A8"/>
    <w:rsid w:val="0044211A"/>
    <w:rsid w:val="00443347"/>
    <w:rsid w:val="0044372F"/>
    <w:rsid w:val="0044773A"/>
    <w:rsid w:val="00447750"/>
    <w:rsid w:val="0045319C"/>
    <w:rsid w:val="00453308"/>
    <w:rsid w:val="00454048"/>
    <w:rsid w:val="00460619"/>
    <w:rsid w:val="00462E55"/>
    <w:rsid w:val="0046400F"/>
    <w:rsid w:val="00464DBD"/>
    <w:rsid w:val="00466DE9"/>
    <w:rsid w:val="004675A4"/>
    <w:rsid w:val="00467C10"/>
    <w:rsid w:val="00473DFA"/>
    <w:rsid w:val="004773C1"/>
    <w:rsid w:val="004804A5"/>
    <w:rsid w:val="00482E78"/>
    <w:rsid w:val="00484180"/>
    <w:rsid w:val="00485A84"/>
    <w:rsid w:val="004868C9"/>
    <w:rsid w:val="0048699C"/>
    <w:rsid w:val="00490F80"/>
    <w:rsid w:val="00491848"/>
    <w:rsid w:val="004935DF"/>
    <w:rsid w:val="00493C06"/>
    <w:rsid w:val="00495DC2"/>
    <w:rsid w:val="004962E7"/>
    <w:rsid w:val="00497EC7"/>
    <w:rsid w:val="004A09EC"/>
    <w:rsid w:val="004A3FFD"/>
    <w:rsid w:val="004A4D92"/>
    <w:rsid w:val="004B2226"/>
    <w:rsid w:val="004B55CF"/>
    <w:rsid w:val="004B57E6"/>
    <w:rsid w:val="004B6411"/>
    <w:rsid w:val="004C2086"/>
    <w:rsid w:val="004C3C69"/>
    <w:rsid w:val="004C4F60"/>
    <w:rsid w:val="004C517C"/>
    <w:rsid w:val="004C5D38"/>
    <w:rsid w:val="004C6531"/>
    <w:rsid w:val="004D2CFF"/>
    <w:rsid w:val="004D39DD"/>
    <w:rsid w:val="004D5716"/>
    <w:rsid w:val="004D7418"/>
    <w:rsid w:val="004E18B9"/>
    <w:rsid w:val="004E2952"/>
    <w:rsid w:val="004E4D63"/>
    <w:rsid w:val="004E528D"/>
    <w:rsid w:val="004E5A64"/>
    <w:rsid w:val="004F073B"/>
    <w:rsid w:val="004F43B9"/>
    <w:rsid w:val="0050164F"/>
    <w:rsid w:val="00501965"/>
    <w:rsid w:val="00501E9F"/>
    <w:rsid w:val="00503201"/>
    <w:rsid w:val="0050429A"/>
    <w:rsid w:val="005056CA"/>
    <w:rsid w:val="00510B7D"/>
    <w:rsid w:val="005150ED"/>
    <w:rsid w:val="00516BA8"/>
    <w:rsid w:val="005176E5"/>
    <w:rsid w:val="0052005D"/>
    <w:rsid w:val="00520F60"/>
    <w:rsid w:val="00521749"/>
    <w:rsid w:val="00523880"/>
    <w:rsid w:val="005278D0"/>
    <w:rsid w:val="0053379C"/>
    <w:rsid w:val="00533BBC"/>
    <w:rsid w:val="0053430D"/>
    <w:rsid w:val="00535895"/>
    <w:rsid w:val="005363FF"/>
    <w:rsid w:val="005374BE"/>
    <w:rsid w:val="00537C0A"/>
    <w:rsid w:val="0054056B"/>
    <w:rsid w:val="00542050"/>
    <w:rsid w:val="00542B0C"/>
    <w:rsid w:val="00553AD8"/>
    <w:rsid w:val="005563EE"/>
    <w:rsid w:val="005604B7"/>
    <w:rsid w:val="005632F0"/>
    <w:rsid w:val="005652E4"/>
    <w:rsid w:val="005653AC"/>
    <w:rsid w:val="005721C7"/>
    <w:rsid w:val="00575780"/>
    <w:rsid w:val="00584169"/>
    <w:rsid w:val="00584AF4"/>
    <w:rsid w:val="00584E78"/>
    <w:rsid w:val="00585783"/>
    <w:rsid w:val="00587EBE"/>
    <w:rsid w:val="00590152"/>
    <w:rsid w:val="00591632"/>
    <w:rsid w:val="00592433"/>
    <w:rsid w:val="0059580D"/>
    <w:rsid w:val="005A1DF0"/>
    <w:rsid w:val="005A3780"/>
    <w:rsid w:val="005A3A3F"/>
    <w:rsid w:val="005A4EA9"/>
    <w:rsid w:val="005B34F7"/>
    <w:rsid w:val="005B5019"/>
    <w:rsid w:val="005C64D6"/>
    <w:rsid w:val="005D1325"/>
    <w:rsid w:val="005D156F"/>
    <w:rsid w:val="005D2A3B"/>
    <w:rsid w:val="005D36EE"/>
    <w:rsid w:val="005D542E"/>
    <w:rsid w:val="005D6A77"/>
    <w:rsid w:val="005D7859"/>
    <w:rsid w:val="005D7DFF"/>
    <w:rsid w:val="005E7051"/>
    <w:rsid w:val="005E730E"/>
    <w:rsid w:val="005F0BC5"/>
    <w:rsid w:val="005F1A92"/>
    <w:rsid w:val="005F214C"/>
    <w:rsid w:val="005F469E"/>
    <w:rsid w:val="005F4EBF"/>
    <w:rsid w:val="005F57A5"/>
    <w:rsid w:val="005F6C7F"/>
    <w:rsid w:val="005F7940"/>
    <w:rsid w:val="00601071"/>
    <w:rsid w:val="0060579F"/>
    <w:rsid w:val="00607DB2"/>
    <w:rsid w:val="006113D6"/>
    <w:rsid w:val="00612291"/>
    <w:rsid w:val="006154B6"/>
    <w:rsid w:val="00617E05"/>
    <w:rsid w:val="00621153"/>
    <w:rsid w:val="00622301"/>
    <w:rsid w:val="00622F7F"/>
    <w:rsid w:val="006233DB"/>
    <w:rsid w:val="00627E8C"/>
    <w:rsid w:val="006300B4"/>
    <w:rsid w:val="0063398B"/>
    <w:rsid w:val="00635EC2"/>
    <w:rsid w:val="006419DD"/>
    <w:rsid w:val="00641F0B"/>
    <w:rsid w:val="00644C51"/>
    <w:rsid w:val="0064625B"/>
    <w:rsid w:val="00647738"/>
    <w:rsid w:val="00647AA6"/>
    <w:rsid w:val="00650EA8"/>
    <w:rsid w:val="00651922"/>
    <w:rsid w:val="0065293C"/>
    <w:rsid w:val="006555E3"/>
    <w:rsid w:val="006637F3"/>
    <w:rsid w:val="00666CAC"/>
    <w:rsid w:val="0067185C"/>
    <w:rsid w:val="00674A83"/>
    <w:rsid w:val="00675B06"/>
    <w:rsid w:val="00677289"/>
    <w:rsid w:val="006818F4"/>
    <w:rsid w:val="006856D1"/>
    <w:rsid w:val="0069280A"/>
    <w:rsid w:val="0069396E"/>
    <w:rsid w:val="00695071"/>
    <w:rsid w:val="006A1449"/>
    <w:rsid w:val="006A206E"/>
    <w:rsid w:val="006A21B2"/>
    <w:rsid w:val="006A3FE6"/>
    <w:rsid w:val="006A47A6"/>
    <w:rsid w:val="006A4864"/>
    <w:rsid w:val="006A500E"/>
    <w:rsid w:val="006A5786"/>
    <w:rsid w:val="006A6A2B"/>
    <w:rsid w:val="006A6FC3"/>
    <w:rsid w:val="006A7563"/>
    <w:rsid w:val="006B2590"/>
    <w:rsid w:val="006B5C64"/>
    <w:rsid w:val="006C08A3"/>
    <w:rsid w:val="006C0ED4"/>
    <w:rsid w:val="006C1E44"/>
    <w:rsid w:val="006C2B31"/>
    <w:rsid w:val="006C3D89"/>
    <w:rsid w:val="006C47B3"/>
    <w:rsid w:val="006D1295"/>
    <w:rsid w:val="006D19AB"/>
    <w:rsid w:val="006E232F"/>
    <w:rsid w:val="006F1D2F"/>
    <w:rsid w:val="006F2D6C"/>
    <w:rsid w:val="006F34A7"/>
    <w:rsid w:val="006F69EC"/>
    <w:rsid w:val="006F7915"/>
    <w:rsid w:val="00704F17"/>
    <w:rsid w:val="00705EC6"/>
    <w:rsid w:val="00706278"/>
    <w:rsid w:val="00706A6C"/>
    <w:rsid w:val="00711FDB"/>
    <w:rsid w:val="00715832"/>
    <w:rsid w:val="00716A21"/>
    <w:rsid w:val="00716F1F"/>
    <w:rsid w:val="00721D57"/>
    <w:rsid w:val="00722BF8"/>
    <w:rsid w:val="00723D85"/>
    <w:rsid w:val="007246B3"/>
    <w:rsid w:val="007308B2"/>
    <w:rsid w:val="007312BD"/>
    <w:rsid w:val="00734738"/>
    <w:rsid w:val="00736A75"/>
    <w:rsid w:val="0074201C"/>
    <w:rsid w:val="007463FF"/>
    <w:rsid w:val="007474D6"/>
    <w:rsid w:val="00747872"/>
    <w:rsid w:val="00747AEC"/>
    <w:rsid w:val="00747E76"/>
    <w:rsid w:val="007505FC"/>
    <w:rsid w:val="007506F8"/>
    <w:rsid w:val="007545D4"/>
    <w:rsid w:val="00754BB9"/>
    <w:rsid w:val="00757E78"/>
    <w:rsid w:val="00763E03"/>
    <w:rsid w:val="00767CCF"/>
    <w:rsid w:val="007714C5"/>
    <w:rsid w:val="007714FB"/>
    <w:rsid w:val="00771637"/>
    <w:rsid w:val="00772752"/>
    <w:rsid w:val="007738FF"/>
    <w:rsid w:val="00773A9F"/>
    <w:rsid w:val="007748C4"/>
    <w:rsid w:val="00777A69"/>
    <w:rsid w:val="0078058C"/>
    <w:rsid w:val="00781894"/>
    <w:rsid w:val="00781AF1"/>
    <w:rsid w:val="007847FF"/>
    <w:rsid w:val="00786557"/>
    <w:rsid w:val="00787540"/>
    <w:rsid w:val="00787B26"/>
    <w:rsid w:val="007906FD"/>
    <w:rsid w:val="00791788"/>
    <w:rsid w:val="00794F6A"/>
    <w:rsid w:val="007A0477"/>
    <w:rsid w:val="007A2F16"/>
    <w:rsid w:val="007A3F4B"/>
    <w:rsid w:val="007A6702"/>
    <w:rsid w:val="007A7D7E"/>
    <w:rsid w:val="007B11F9"/>
    <w:rsid w:val="007B4843"/>
    <w:rsid w:val="007B570F"/>
    <w:rsid w:val="007C1A5B"/>
    <w:rsid w:val="007C7DF3"/>
    <w:rsid w:val="007D100E"/>
    <w:rsid w:val="007D5013"/>
    <w:rsid w:val="007E0506"/>
    <w:rsid w:val="007E1964"/>
    <w:rsid w:val="007E2BF6"/>
    <w:rsid w:val="007E35B5"/>
    <w:rsid w:val="007E3EBE"/>
    <w:rsid w:val="007E3F6F"/>
    <w:rsid w:val="007E401F"/>
    <w:rsid w:val="007F02B9"/>
    <w:rsid w:val="007F1787"/>
    <w:rsid w:val="007F39CD"/>
    <w:rsid w:val="007F4ADB"/>
    <w:rsid w:val="007F6353"/>
    <w:rsid w:val="0080069D"/>
    <w:rsid w:val="00800D50"/>
    <w:rsid w:val="00802095"/>
    <w:rsid w:val="00803E7F"/>
    <w:rsid w:val="00805D4A"/>
    <w:rsid w:val="00805FEF"/>
    <w:rsid w:val="0080749C"/>
    <w:rsid w:val="008107D9"/>
    <w:rsid w:val="00812E3F"/>
    <w:rsid w:val="00815BB6"/>
    <w:rsid w:val="00815C11"/>
    <w:rsid w:val="00816660"/>
    <w:rsid w:val="00817F1A"/>
    <w:rsid w:val="00821BDF"/>
    <w:rsid w:val="0082249C"/>
    <w:rsid w:val="00822EF1"/>
    <w:rsid w:val="00826918"/>
    <w:rsid w:val="00827BE0"/>
    <w:rsid w:val="00833DCE"/>
    <w:rsid w:val="00835B59"/>
    <w:rsid w:val="00837E25"/>
    <w:rsid w:val="00837F8A"/>
    <w:rsid w:val="00846897"/>
    <w:rsid w:val="008478E9"/>
    <w:rsid w:val="008512D6"/>
    <w:rsid w:val="00854F47"/>
    <w:rsid w:val="00860EE5"/>
    <w:rsid w:val="008645B9"/>
    <w:rsid w:val="00864C13"/>
    <w:rsid w:val="00867840"/>
    <w:rsid w:val="00867C86"/>
    <w:rsid w:val="00867F4A"/>
    <w:rsid w:val="00870CA1"/>
    <w:rsid w:val="00871547"/>
    <w:rsid w:val="00872CAC"/>
    <w:rsid w:val="00876F85"/>
    <w:rsid w:val="008801C6"/>
    <w:rsid w:val="00880C92"/>
    <w:rsid w:val="00882B57"/>
    <w:rsid w:val="00884423"/>
    <w:rsid w:val="00885175"/>
    <w:rsid w:val="00885BD0"/>
    <w:rsid w:val="00885D19"/>
    <w:rsid w:val="00887EDE"/>
    <w:rsid w:val="00891C3D"/>
    <w:rsid w:val="00892BA9"/>
    <w:rsid w:val="008933F2"/>
    <w:rsid w:val="00893B4D"/>
    <w:rsid w:val="00895021"/>
    <w:rsid w:val="00896603"/>
    <w:rsid w:val="008978F6"/>
    <w:rsid w:val="00897976"/>
    <w:rsid w:val="008A21F0"/>
    <w:rsid w:val="008A2302"/>
    <w:rsid w:val="008A3780"/>
    <w:rsid w:val="008A45ED"/>
    <w:rsid w:val="008A6618"/>
    <w:rsid w:val="008B3609"/>
    <w:rsid w:val="008B36A3"/>
    <w:rsid w:val="008B6FBD"/>
    <w:rsid w:val="008B7723"/>
    <w:rsid w:val="008B7E29"/>
    <w:rsid w:val="008C0856"/>
    <w:rsid w:val="008C1757"/>
    <w:rsid w:val="008C3EE8"/>
    <w:rsid w:val="008C4DC8"/>
    <w:rsid w:val="008D0CD0"/>
    <w:rsid w:val="008D2BDA"/>
    <w:rsid w:val="008D7DC8"/>
    <w:rsid w:val="008E03BA"/>
    <w:rsid w:val="008E0C79"/>
    <w:rsid w:val="008E5862"/>
    <w:rsid w:val="008E5E33"/>
    <w:rsid w:val="008E7172"/>
    <w:rsid w:val="008F12D2"/>
    <w:rsid w:val="008F3734"/>
    <w:rsid w:val="008F3BB2"/>
    <w:rsid w:val="008F49C1"/>
    <w:rsid w:val="0090012E"/>
    <w:rsid w:val="00901906"/>
    <w:rsid w:val="00901E7F"/>
    <w:rsid w:val="00903155"/>
    <w:rsid w:val="009039AA"/>
    <w:rsid w:val="0090598A"/>
    <w:rsid w:val="009078E3"/>
    <w:rsid w:val="009121D1"/>
    <w:rsid w:val="00921F9E"/>
    <w:rsid w:val="0092239E"/>
    <w:rsid w:val="00931058"/>
    <w:rsid w:val="00932F7C"/>
    <w:rsid w:val="0093331E"/>
    <w:rsid w:val="00934B5C"/>
    <w:rsid w:val="00935F52"/>
    <w:rsid w:val="009367AF"/>
    <w:rsid w:val="00937C11"/>
    <w:rsid w:val="00940087"/>
    <w:rsid w:val="00941CD1"/>
    <w:rsid w:val="00942C01"/>
    <w:rsid w:val="00944893"/>
    <w:rsid w:val="00946917"/>
    <w:rsid w:val="00946DD0"/>
    <w:rsid w:val="00947779"/>
    <w:rsid w:val="00947CF0"/>
    <w:rsid w:val="00951BFB"/>
    <w:rsid w:val="00951F47"/>
    <w:rsid w:val="009529C1"/>
    <w:rsid w:val="0095365A"/>
    <w:rsid w:val="0096154C"/>
    <w:rsid w:val="00962ABD"/>
    <w:rsid w:val="00963D37"/>
    <w:rsid w:val="009662C5"/>
    <w:rsid w:val="00966789"/>
    <w:rsid w:val="009674F7"/>
    <w:rsid w:val="009706B8"/>
    <w:rsid w:val="00970E92"/>
    <w:rsid w:val="0097369A"/>
    <w:rsid w:val="00980FE1"/>
    <w:rsid w:val="00982587"/>
    <w:rsid w:val="00983337"/>
    <w:rsid w:val="00984DD4"/>
    <w:rsid w:val="009850FC"/>
    <w:rsid w:val="009905AF"/>
    <w:rsid w:val="0099235C"/>
    <w:rsid w:val="009966AD"/>
    <w:rsid w:val="009A0B57"/>
    <w:rsid w:val="009A3F7F"/>
    <w:rsid w:val="009A410D"/>
    <w:rsid w:val="009A6A3A"/>
    <w:rsid w:val="009A765B"/>
    <w:rsid w:val="009A76CA"/>
    <w:rsid w:val="009B0579"/>
    <w:rsid w:val="009B1BB3"/>
    <w:rsid w:val="009B449C"/>
    <w:rsid w:val="009B4886"/>
    <w:rsid w:val="009B5096"/>
    <w:rsid w:val="009B6B15"/>
    <w:rsid w:val="009C0B54"/>
    <w:rsid w:val="009C1262"/>
    <w:rsid w:val="009C3FFB"/>
    <w:rsid w:val="009C43CA"/>
    <w:rsid w:val="009C45E0"/>
    <w:rsid w:val="009C5797"/>
    <w:rsid w:val="009C7206"/>
    <w:rsid w:val="009D0AA9"/>
    <w:rsid w:val="009D241F"/>
    <w:rsid w:val="009D34D7"/>
    <w:rsid w:val="009D3C99"/>
    <w:rsid w:val="009E36F0"/>
    <w:rsid w:val="009E6298"/>
    <w:rsid w:val="009E7DBA"/>
    <w:rsid w:val="009F43D9"/>
    <w:rsid w:val="009F5289"/>
    <w:rsid w:val="009F6714"/>
    <w:rsid w:val="00A01CA8"/>
    <w:rsid w:val="00A0248A"/>
    <w:rsid w:val="00A0328B"/>
    <w:rsid w:val="00A04FF1"/>
    <w:rsid w:val="00A0554C"/>
    <w:rsid w:val="00A05F47"/>
    <w:rsid w:val="00A07BD5"/>
    <w:rsid w:val="00A11923"/>
    <w:rsid w:val="00A11C10"/>
    <w:rsid w:val="00A123CF"/>
    <w:rsid w:val="00A1605A"/>
    <w:rsid w:val="00A17F96"/>
    <w:rsid w:val="00A20127"/>
    <w:rsid w:val="00A207AC"/>
    <w:rsid w:val="00A2122B"/>
    <w:rsid w:val="00A23972"/>
    <w:rsid w:val="00A2451D"/>
    <w:rsid w:val="00A25B0C"/>
    <w:rsid w:val="00A26F09"/>
    <w:rsid w:val="00A31B18"/>
    <w:rsid w:val="00A32764"/>
    <w:rsid w:val="00A32B6F"/>
    <w:rsid w:val="00A3404B"/>
    <w:rsid w:val="00A34A8F"/>
    <w:rsid w:val="00A34F79"/>
    <w:rsid w:val="00A411E0"/>
    <w:rsid w:val="00A43BC2"/>
    <w:rsid w:val="00A44094"/>
    <w:rsid w:val="00A44CE9"/>
    <w:rsid w:val="00A4621B"/>
    <w:rsid w:val="00A4790E"/>
    <w:rsid w:val="00A5158C"/>
    <w:rsid w:val="00A51C28"/>
    <w:rsid w:val="00A528FC"/>
    <w:rsid w:val="00A5443D"/>
    <w:rsid w:val="00A5451F"/>
    <w:rsid w:val="00A54689"/>
    <w:rsid w:val="00A54827"/>
    <w:rsid w:val="00A54F49"/>
    <w:rsid w:val="00A557FE"/>
    <w:rsid w:val="00A56D2E"/>
    <w:rsid w:val="00A57D50"/>
    <w:rsid w:val="00A60507"/>
    <w:rsid w:val="00A60AF0"/>
    <w:rsid w:val="00A62147"/>
    <w:rsid w:val="00A629E2"/>
    <w:rsid w:val="00A63946"/>
    <w:rsid w:val="00A64A1F"/>
    <w:rsid w:val="00A65E44"/>
    <w:rsid w:val="00A6609A"/>
    <w:rsid w:val="00A67717"/>
    <w:rsid w:val="00A703F1"/>
    <w:rsid w:val="00A70C5D"/>
    <w:rsid w:val="00A80E8B"/>
    <w:rsid w:val="00A878AD"/>
    <w:rsid w:val="00A91169"/>
    <w:rsid w:val="00A931C1"/>
    <w:rsid w:val="00A93256"/>
    <w:rsid w:val="00A96022"/>
    <w:rsid w:val="00A97870"/>
    <w:rsid w:val="00AA07E4"/>
    <w:rsid w:val="00AA6924"/>
    <w:rsid w:val="00AB1916"/>
    <w:rsid w:val="00AB1ED3"/>
    <w:rsid w:val="00AB2A86"/>
    <w:rsid w:val="00AB3C10"/>
    <w:rsid w:val="00AB427A"/>
    <w:rsid w:val="00AB5AD8"/>
    <w:rsid w:val="00AC0EB0"/>
    <w:rsid w:val="00AC1966"/>
    <w:rsid w:val="00AC3B07"/>
    <w:rsid w:val="00AC5D16"/>
    <w:rsid w:val="00AC5FA4"/>
    <w:rsid w:val="00AC7535"/>
    <w:rsid w:val="00AC7854"/>
    <w:rsid w:val="00AD4395"/>
    <w:rsid w:val="00AD61ED"/>
    <w:rsid w:val="00AD7733"/>
    <w:rsid w:val="00AD7F8A"/>
    <w:rsid w:val="00AE054F"/>
    <w:rsid w:val="00AE2435"/>
    <w:rsid w:val="00AF0734"/>
    <w:rsid w:val="00AF2CC9"/>
    <w:rsid w:val="00AF384B"/>
    <w:rsid w:val="00AF3979"/>
    <w:rsid w:val="00AF4B60"/>
    <w:rsid w:val="00AF4BB0"/>
    <w:rsid w:val="00AF6478"/>
    <w:rsid w:val="00B02BAA"/>
    <w:rsid w:val="00B037F7"/>
    <w:rsid w:val="00B048C9"/>
    <w:rsid w:val="00B04950"/>
    <w:rsid w:val="00B072F5"/>
    <w:rsid w:val="00B10B9A"/>
    <w:rsid w:val="00B11017"/>
    <w:rsid w:val="00B15147"/>
    <w:rsid w:val="00B17365"/>
    <w:rsid w:val="00B17C50"/>
    <w:rsid w:val="00B2360D"/>
    <w:rsid w:val="00B342D2"/>
    <w:rsid w:val="00B40794"/>
    <w:rsid w:val="00B40A06"/>
    <w:rsid w:val="00B41C6F"/>
    <w:rsid w:val="00B43A57"/>
    <w:rsid w:val="00B452D6"/>
    <w:rsid w:val="00B458F1"/>
    <w:rsid w:val="00B50598"/>
    <w:rsid w:val="00B51729"/>
    <w:rsid w:val="00B54C96"/>
    <w:rsid w:val="00B55473"/>
    <w:rsid w:val="00B61073"/>
    <w:rsid w:val="00B61376"/>
    <w:rsid w:val="00B67D1A"/>
    <w:rsid w:val="00B80138"/>
    <w:rsid w:val="00B82834"/>
    <w:rsid w:val="00B8339C"/>
    <w:rsid w:val="00B8364D"/>
    <w:rsid w:val="00B91D06"/>
    <w:rsid w:val="00B92262"/>
    <w:rsid w:val="00B94B3F"/>
    <w:rsid w:val="00B970B0"/>
    <w:rsid w:val="00B9729D"/>
    <w:rsid w:val="00B972BE"/>
    <w:rsid w:val="00BA29CC"/>
    <w:rsid w:val="00BA6D04"/>
    <w:rsid w:val="00BA7472"/>
    <w:rsid w:val="00BB233E"/>
    <w:rsid w:val="00BB23F3"/>
    <w:rsid w:val="00BB43FB"/>
    <w:rsid w:val="00BB5768"/>
    <w:rsid w:val="00BB748A"/>
    <w:rsid w:val="00BB7CB2"/>
    <w:rsid w:val="00BC1C20"/>
    <w:rsid w:val="00BC3141"/>
    <w:rsid w:val="00BC3922"/>
    <w:rsid w:val="00BC4140"/>
    <w:rsid w:val="00BC6072"/>
    <w:rsid w:val="00BD2957"/>
    <w:rsid w:val="00BD65F1"/>
    <w:rsid w:val="00BD78E9"/>
    <w:rsid w:val="00BD7A7E"/>
    <w:rsid w:val="00BE2F0B"/>
    <w:rsid w:val="00BE371B"/>
    <w:rsid w:val="00BE4283"/>
    <w:rsid w:val="00BE44E0"/>
    <w:rsid w:val="00BE5A10"/>
    <w:rsid w:val="00BE6586"/>
    <w:rsid w:val="00BE6834"/>
    <w:rsid w:val="00BF0F78"/>
    <w:rsid w:val="00BF1AF4"/>
    <w:rsid w:val="00C00C51"/>
    <w:rsid w:val="00C02AA8"/>
    <w:rsid w:val="00C02C0B"/>
    <w:rsid w:val="00C0568B"/>
    <w:rsid w:val="00C0590D"/>
    <w:rsid w:val="00C0690B"/>
    <w:rsid w:val="00C1050A"/>
    <w:rsid w:val="00C106D9"/>
    <w:rsid w:val="00C13106"/>
    <w:rsid w:val="00C1316E"/>
    <w:rsid w:val="00C175B1"/>
    <w:rsid w:val="00C20197"/>
    <w:rsid w:val="00C21892"/>
    <w:rsid w:val="00C2262B"/>
    <w:rsid w:val="00C24018"/>
    <w:rsid w:val="00C2544F"/>
    <w:rsid w:val="00C3071E"/>
    <w:rsid w:val="00C45953"/>
    <w:rsid w:val="00C50EA0"/>
    <w:rsid w:val="00C51B0A"/>
    <w:rsid w:val="00C51ED4"/>
    <w:rsid w:val="00C52D31"/>
    <w:rsid w:val="00C57522"/>
    <w:rsid w:val="00C605CF"/>
    <w:rsid w:val="00C60941"/>
    <w:rsid w:val="00C63280"/>
    <w:rsid w:val="00C63D57"/>
    <w:rsid w:val="00C6520C"/>
    <w:rsid w:val="00C7163D"/>
    <w:rsid w:val="00C76718"/>
    <w:rsid w:val="00C804A4"/>
    <w:rsid w:val="00C81E99"/>
    <w:rsid w:val="00C8246D"/>
    <w:rsid w:val="00C83FC3"/>
    <w:rsid w:val="00C86F97"/>
    <w:rsid w:val="00C87774"/>
    <w:rsid w:val="00C913C9"/>
    <w:rsid w:val="00C9396A"/>
    <w:rsid w:val="00C945D0"/>
    <w:rsid w:val="00C974E0"/>
    <w:rsid w:val="00CA10E5"/>
    <w:rsid w:val="00CA25A7"/>
    <w:rsid w:val="00CA34E5"/>
    <w:rsid w:val="00CA3F97"/>
    <w:rsid w:val="00CA5B36"/>
    <w:rsid w:val="00CA78AA"/>
    <w:rsid w:val="00CA7CA5"/>
    <w:rsid w:val="00CB7328"/>
    <w:rsid w:val="00CB76C5"/>
    <w:rsid w:val="00CC21B1"/>
    <w:rsid w:val="00CC44E7"/>
    <w:rsid w:val="00CC5946"/>
    <w:rsid w:val="00CD4B20"/>
    <w:rsid w:val="00CE2BFF"/>
    <w:rsid w:val="00CE51F4"/>
    <w:rsid w:val="00CE5234"/>
    <w:rsid w:val="00CE60CD"/>
    <w:rsid w:val="00CE6562"/>
    <w:rsid w:val="00CE6933"/>
    <w:rsid w:val="00CE699E"/>
    <w:rsid w:val="00CE7BBA"/>
    <w:rsid w:val="00CF191F"/>
    <w:rsid w:val="00CF1E90"/>
    <w:rsid w:val="00CF3F15"/>
    <w:rsid w:val="00CF535D"/>
    <w:rsid w:val="00D048A6"/>
    <w:rsid w:val="00D05937"/>
    <w:rsid w:val="00D070D9"/>
    <w:rsid w:val="00D07B0F"/>
    <w:rsid w:val="00D1009E"/>
    <w:rsid w:val="00D1115A"/>
    <w:rsid w:val="00D12059"/>
    <w:rsid w:val="00D12642"/>
    <w:rsid w:val="00D12A0E"/>
    <w:rsid w:val="00D1417C"/>
    <w:rsid w:val="00D149E3"/>
    <w:rsid w:val="00D16FB3"/>
    <w:rsid w:val="00D2087C"/>
    <w:rsid w:val="00D21535"/>
    <w:rsid w:val="00D21A34"/>
    <w:rsid w:val="00D22EF9"/>
    <w:rsid w:val="00D2571E"/>
    <w:rsid w:val="00D26A1C"/>
    <w:rsid w:val="00D305F3"/>
    <w:rsid w:val="00D30D99"/>
    <w:rsid w:val="00D31E03"/>
    <w:rsid w:val="00D32386"/>
    <w:rsid w:val="00D3436A"/>
    <w:rsid w:val="00D371F3"/>
    <w:rsid w:val="00D37DF2"/>
    <w:rsid w:val="00D444EC"/>
    <w:rsid w:val="00D51A34"/>
    <w:rsid w:val="00D55D22"/>
    <w:rsid w:val="00D5707B"/>
    <w:rsid w:val="00D5708E"/>
    <w:rsid w:val="00D62255"/>
    <w:rsid w:val="00D62A23"/>
    <w:rsid w:val="00D65C69"/>
    <w:rsid w:val="00D70686"/>
    <w:rsid w:val="00D706B0"/>
    <w:rsid w:val="00D70E2E"/>
    <w:rsid w:val="00D72BE3"/>
    <w:rsid w:val="00D7595A"/>
    <w:rsid w:val="00D76DD4"/>
    <w:rsid w:val="00D8009A"/>
    <w:rsid w:val="00D8080C"/>
    <w:rsid w:val="00D80E03"/>
    <w:rsid w:val="00D81D10"/>
    <w:rsid w:val="00D82791"/>
    <w:rsid w:val="00D83BBB"/>
    <w:rsid w:val="00D856FC"/>
    <w:rsid w:val="00D85F7C"/>
    <w:rsid w:val="00D86C31"/>
    <w:rsid w:val="00D902BF"/>
    <w:rsid w:val="00D90BAB"/>
    <w:rsid w:val="00D9278D"/>
    <w:rsid w:val="00D9408F"/>
    <w:rsid w:val="00D95676"/>
    <w:rsid w:val="00D96C54"/>
    <w:rsid w:val="00D96FC5"/>
    <w:rsid w:val="00DA1DFB"/>
    <w:rsid w:val="00DA3300"/>
    <w:rsid w:val="00DA6C02"/>
    <w:rsid w:val="00DA6D15"/>
    <w:rsid w:val="00DA7B9B"/>
    <w:rsid w:val="00DB0C77"/>
    <w:rsid w:val="00DB223B"/>
    <w:rsid w:val="00DB38C2"/>
    <w:rsid w:val="00DB390B"/>
    <w:rsid w:val="00DB53BD"/>
    <w:rsid w:val="00DB5D77"/>
    <w:rsid w:val="00DB625F"/>
    <w:rsid w:val="00DC2780"/>
    <w:rsid w:val="00DC3DFE"/>
    <w:rsid w:val="00DC56E1"/>
    <w:rsid w:val="00DC725F"/>
    <w:rsid w:val="00DD0AA0"/>
    <w:rsid w:val="00DD205E"/>
    <w:rsid w:val="00DD2443"/>
    <w:rsid w:val="00DE04C0"/>
    <w:rsid w:val="00DE0B52"/>
    <w:rsid w:val="00DE1B1F"/>
    <w:rsid w:val="00DE1FC0"/>
    <w:rsid w:val="00DE5C58"/>
    <w:rsid w:val="00DE737A"/>
    <w:rsid w:val="00DE773C"/>
    <w:rsid w:val="00DF0954"/>
    <w:rsid w:val="00DF138F"/>
    <w:rsid w:val="00DF26D6"/>
    <w:rsid w:val="00DF2770"/>
    <w:rsid w:val="00DF503B"/>
    <w:rsid w:val="00E001EA"/>
    <w:rsid w:val="00E01EEF"/>
    <w:rsid w:val="00E02468"/>
    <w:rsid w:val="00E03F04"/>
    <w:rsid w:val="00E03FD8"/>
    <w:rsid w:val="00E042F9"/>
    <w:rsid w:val="00E103FB"/>
    <w:rsid w:val="00E112FE"/>
    <w:rsid w:val="00E1318A"/>
    <w:rsid w:val="00E13A4F"/>
    <w:rsid w:val="00E14D30"/>
    <w:rsid w:val="00E1529A"/>
    <w:rsid w:val="00E1530C"/>
    <w:rsid w:val="00E15597"/>
    <w:rsid w:val="00E15A96"/>
    <w:rsid w:val="00E25E6D"/>
    <w:rsid w:val="00E26DA3"/>
    <w:rsid w:val="00E2762C"/>
    <w:rsid w:val="00E27C35"/>
    <w:rsid w:val="00E317D3"/>
    <w:rsid w:val="00E3320B"/>
    <w:rsid w:val="00E35692"/>
    <w:rsid w:val="00E3609C"/>
    <w:rsid w:val="00E3656C"/>
    <w:rsid w:val="00E47BB4"/>
    <w:rsid w:val="00E51B48"/>
    <w:rsid w:val="00E56D8D"/>
    <w:rsid w:val="00E634CE"/>
    <w:rsid w:val="00E6516D"/>
    <w:rsid w:val="00E661A0"/>
    <w:rsid w:val="00E67EBF"/>
    <w:rsid w:val="00E732D6"/>
    <w:rsid w:val="00E74859"/>
    <w:rsid w:val="00E77360"/>
    <w:rsid w:val="00E807C1"/>
    <w:rsid w:val="00E814BF"/>
    <w:rsid w:val="00E845D5"/>
    <w:rsid w:val="00E852CE"/>
    <w:rsid w:val="00E92C0B"/>
    <w:rsid w:val="00E938E1"/>
    <w:rsid w:val="00E93BC1"/>
    <w:rsid w:val="00E9501F"/>
    <w:rsid w:val="00E967E7"/>
    <w:rsid w:val="00EA025E"/>
    <w:rsid w:val="00EA4570"/>
    <w:rsid w:val="00EA4E6B"/>
    <w:rsid w:val="00EA5655"/>
    <w:rsid w:val="00EB0226"/>
    <w:rsid w:val="00EB03CF"/>
    <w:rsid w:val="00EB03D2"/>
    <w:rsid w:val="00EB148A"/>
    <w:rsid w:val="00EB1EF6"/>
    <w:rsid w:val="00EB3413"/>
    <w:rsid w:val="00EB66F0"/>
    <w:rsid w:val="00EB7C9B"/>
    <w:rsid w:val="00EC2BF6"/>
    <w:rsid w:val="00EC3807"/>
    <w:rsid w:val="00EC40A8"/>
    <w:rsid w:val="00EC535C"/>
    <w:rsid w:val="00EC5C66"/>
    <w:rsid w:val="00ED5209"/>
    <w:rsid w:val="00ED5B67"/>
    <w:rsid w:val="00ED699A"/>
    <w:rsid w:val="00EE6B5D"/>
    <w:rsid w:val="00EE6C30"/>
    <w:rsid w:val="00EF172E"/>
    <w:rsid w:val="00EF4472"/>
    <w:rsid w:val="00EF4FB1"/>
    <w:rsid w:val="00EF5011"/>
    <w:rsid w:val="00EF5A2C"/>
    <w:rsid w:val="00EF6E62"/>
    <w:rsid w:val="00EF77B7"/>
    <w:rsid w:val="00EF7939"/>
    <w:rsid w:val="00F01EF9"/>
    <w:rsid w:val="00F0223F"/>
    <w:rsid w:val="00F0465F"/>
    <w:rsid w:val="00F125EB"/>
    <w:rsid w:val="00F16623"/>
    <w:rsid w:val="00F16C45"/>
    <w:rsid w:val="00F16C59"/>
    <w:rsid w:val="00F16FA1"/>
    <w:rsid w:val="00F2008B"/>
    <w:rsid w:val="00F20A4A"/>
    <w:rsid w:val="00F21D25"/>
    <w:rsid w:val="00F25AAF"/>
    <w:rsid w:val="00F25D06"/>
    <w:rsid w:val="00F26527"/>
    <w:rsid w:val="00F279B7"/>
    <w:rsid w:val="00F402D8"/>
    <w:rsid w:val="00F438D8"/>
    <w:rsid w:val="00F43C60"/>
    <w:rsid w:val="00F506EB"/>
    <w:rsid w:val="00F54711"/>
    <w:rsid w:val="00F63C9F"/>
    <w:rsid w:val="00F64D63"/>
    <w:rsid w:val="00F6649B"/>
    <w:rsid w:val="00F72A8F"/>
    <w:rsid w:val="00F730FC"/>
    <w:rsid w:val="00F747CA"/>
    <w:rsid w:val="00F752C3"/>
    <w:rsid w:val="00F776AD"/>
    <w:rsid w:val="00F77D33"/>
    <w:rsid w:val="00F82635"/>
    <w:rsid w:val="00F85868"/>
    <w:rsid w:val="00F8635A"/>
    <w:rsid w:val="00F87F1D"/>
    <w:rsid w:val="00F91FFB"/>
    <w:rsid w:val="00F93605"/>
    <w:rsid w:val="00F94395"/>
    <w:rsid w:val="00F979AE"/>
    <w:rsid w:val="00F97BC5"/>
    <w:rsid w:val="00FA12E5"/>
    <w:rsid w:val="00FA2556"/>
    <w:rsid w:val="00FA332B"/>
    <w:rsid w:val="00FB4CFF"/>
    <w:rsid w:val="00FB5281"/>
    <w:rsid w:val="00FB5FFD"/>
    <w:rsid w:val="00FB69EE"/>
    <w:rsid w:val="00FB6A01"/>
    <w:rsid w:val="00FC03C0"/>
    <w:rsid w:val="00FC1372"/>
    <w:rsid w:val="00FC1405"/>
    <w:rsid w:val="00FC3A2A"/>
    <w:rsid w:val="00FC5976"/>
    <w:rsid w:val="00FD0FC4"/>
    <w:rsid w:val="00FD3C1E"/>
    <w:rsid w:val="00FD4E71"/>
    <w:rsid w:val="00FD52E9"/>
    <w:rsid w:val="00FD5F33"/>
    <w:rsid w:val="00FE099E"/>
    <w:rsid w:val="00FE52FF"/>
    <w:rsid w:val="00FE74A6"/>
    <w:rsid w:val="00FF2878"/>
    <w:rsid w:val="00FF3345"/>
    <w:rsid w:val="07024045"/>
    <w:rsid w:val="440208C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52691B6F"/>
  <w15:docId w15:val="{35C07390-9F5A-4D03-9D4E-7BA2F3097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102"/>
    <w:pPr>
      <w:spacing w:after="200" w:line="276" w:lineRule="auto"/>
    </w:pPr>
    <w:rPr>
      <w:sz w:val="22"/>
      <w:szCs w:val="24"/>
      <w:lang w:eastAsia="en-US"/>
    </w:rPr>
  </w:style>
  <w:style w:type="paragraph" w:styleId="1">
    <w:name w:val="heading 1"/>
    <w:basedOn w:val="a"/>
    <w:link w:val="10"/>
    <w:uiPriority w:val="9"/>
    <w:qFormat/>
    <w:pPr>
      <w:spacing w:before="100" w:beforeAutospacing="1" w:after="100" w:afterAutospacing="1" w:line="240" w:lineRule="auto"/>
      <w:outlineLvl w:val="0"/>
    </w:pPr>
    <w:rPr>
      <w:rFonts w:eastAsia="Times New Roman"/>
      <w:b/>
      <w:bCs/>
      <w:kern w:val="36"/>
      <w:sz w:val="48"/>
      <w:szCs w:val="48"/>
      <w:lang w:eastAsia="ru-RU"/>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ody Text"/>
    <w:basedOn w:val="a"/>
    <w:link w:val="a6"/>
    <w:uiPriority w:val="99"/>
    <w:semiHidden/>
    <w:unhideWhenUsed/>
    <w:qFormat/>
    <w:pPr>
      <w:spacing w:after="120"/>
    </w:pPr>
  </w:style>
  <w:style w:type="paragraph" w:styleId="a7">
    <w:name w:val="Balloon Text"/>
    <w:basedOn w:val="a"/>
    <w:link w:val="a8"/>
    <w:uiPriority w:val="99"/>
    <w:semiHidden/>
    <w:unhideWhenUsed/>
    <w:pPr>
      <w:spacing w:after="0" w:line="240" w:lineRule="auto"/>
    </w:pPr>
    <w:rPr>
      <w:rFonts w:ascii="Tahoma" w:hAnsi="Tahoma" w:cs="Tahoma"/>
      <w:sz w:val="16"/>
      <w:szCs w:val="16"/>
    </w:rPr>
  </w:style>
  <w:style w:type="paragraph" w:styleId="a9">
    <w:name w:val="footer"/>
    <w:basedOn w:val="a"/>
    <w:link w:val="aa"/>
    <w:uiPriority w:val="99"/>
    <w:unhideWhenUsed/>
    <w:qFormat/>
    <w:pPr>
      <w:tabs>
        <w:tab w:val="center" w:pos="4677"/>
        <w:tab w:val="right" w:pos="9355"/>
      </w:tabs>
      <w:spacing w:after="0" w:line="240" w:lineRule="auto"/>
    </w:pPr>
  </w:style>
  <w:style w:type="paragraph" w:styleId="ab">
    <w:name w:val="header"/>
    <w:basedOn w:val="a"/>
    <w:link w:val="ac"/>
    <w:uiPriority w:val="99"/>
    <w:unhideWhenUsed/>
    <w:qFormat/>
    <w:pPr>
      <w:tabs>
        <w:tab w:val="center" w:pos="4677"/>
        <w:tab w:val="right" w:pos="9355"/>
      </w:tabs>
      <w:spacing w:after="0" w:line="240" w:lineRule="auto"/>
    </w:pPr>
  </w:style>
  <w:style w:type="paragraph" w:styleId="ad">
    <w:name w:val="List"/>
    <w:basedOn w:val="a"/>
    <w:qFormat/>
    <w:pPr>
      <w:spacing w:after="0" w:line="240" w:lineRule="auto"/>
      <w:ind w:left="283" w:hanging="283"/>
    </w:pPr>
    <w:rPr>
      <w:rFonts w:eastAsia="Times New Roman"/>
      <w:sz w:val="24"/>
      <w:lang w:eastAsia="ru-RU"/>
    </w:rPr>
  </w:style>
  <w:style w:type="paragraph" w:styleId="ae">
    <w:name w:val="Normal (Web)"/>
    <w:basedOn w:val="a"/>
    <w:uiPriority w:val="99"/>
    <w:unhideWhenUsed/>
    <w:qFormat/>
    <w:pPr>
      <w:spacing w:before="100" w:beforeAutospacing="1" w:after="100" w:afterAutospacing="1" w:line="240" w:lineRule="auto"/>
    </w:pPr>
    <w:rPr>
      <w:rFonts w:eastAsia="Times New Roman"/>
      <w:sz w:val="24"/>
      <w:lang w:eastAsia="ru-RU"/>
    </w:rPr>
  </w:style>
  <w:style w:type="paragraph" w:styleId="af">
    <w:name w:val="Title"/>
    <w:basedOn w:val="a"/>
    <w:link w:val="af0"/>
    <w:qFormat/>
    <w:pPr>
      <w:spacing w:after="0" w:line="240" w:lineRule="auto"/>
      <w:jc w:val="center"/>
    </w:pPr>
    <w:rPr>
      <w:rFonts w:ascii="A3 Times AzLat" w:eastAsia="MS Mincho" w:hAnsi="A3 Times AzLat"/>
      <w:sz w:val="28"/>
      <w:lang w:eastAsia="ru-RU"/>
    </w:rPr>
  </w:style>
  <w:style w:type="paragraph" w:styleId="af1">
    <w:name w:val="annotation subject"/>
    <w:basedOn w:val="a3"/>
    <w:next w:val="a3"/>
    <w:link w:val="af2"/>
    <w:uiPriority w:val="99"/>
    <w:semiHidden/>
    <w:unhideWhenUsed/>
    <w:qFormat/>
    <w:rPr>
      <w:b/>
      <w:bCs/>
    </w:rPr>
  </w:style>
  <w:style w:type="paragraph" w:styleId="af3">
    <w:name w:val="Body Text First Indent"/>
    <w:basedOn w:val="a5"/>
    <w:link w:val="af4"/>
    <w:qFormat/>
    <w:pPr>
      <w:spacing w:line="240" w:lineRule="auto"/>
      <w:ind w:firstLine="210"/>
    </w:pPr>
    <w:rPr>
      <w:rFonts w:eastAsia="MS Mincho"/>
      <w:sz w:val="24"/>
      <w:lang w:eastAsia="ru-RU"/>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Light Shading"/>
    <w:basedOn w:val="a1"/>
    <w:uiPriority w:val="60"/>
    <w:qFormat/>
    <w:rPr>
      <w:rFonts w:ascii="Calibri" w:hAnsi="Calibri" w:cs="宋体"/>
      <w:color w:val="000000"/>
      <w:szCs w:val="22"/>
    </w:rPr>
    <w:tblPr>
      <w:tblBorders>
        <w:top w:val="single" w:sz="8" w:space="0" w:color="000000"/>
        <w:bottom w:val="single" w:sz="8" w:space="0" w:color="000000"/>
      </w:tblBorders>
    </w:tblPr>
    <w:tblStylePr w:type="firstRow">
      <w:pPr>
        <w:spacing w:beforeAutospacing="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Autospacing="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af7">
    <w:name w:val="Strong"/>
    <w:basedOn w:val="a0"/>
    <w:uiPriority w:val="22"/>
    <w:qFormat/>
    <w:rPr>
      <w:b/>
      <w:bCs/>
    </w:rPr>
  </w:style>
  <w:style w:type="character" w:styleId="af8">
    <w:name w:val="Emphasis"/>
    <w:uiPriority w:val="20"/>
    <w:qFormat/>
    <w:rPr>
      <w:i/>
      <w:iCs/>
    </w:rPr>
  </w:style>
  <w:style w:type="character" w:styleId="af9">
    <w:name w:val="line number"/>
    <w:basedOn w:val="a0"/>
    <w:uiPriority w:val="99"/>
    <w:semiHidden/>
    <w:unhideWhenUsed/>
    <w:qFormat/>
  </w:style>
  <w:style w:type="character" w:styleId="afa">
    <w:name w:val="Hyperlink"/>
    <w:uiPriority w:val="99"/>
    <w:qFormat/>
    <w:rPr>
      <w:color w:val="0000FF"/>
      <w:u w:val="single"/>
    </w:rPr>
  </w:style>
  <w:style w:type="character" w:styleId="afb">
    <w:name w:val="annotation reference"/>
    <w:basedOn w:val="a0"/>
    <w:uiPriority w:val="99"/>
    <w:unhideWhenUsed/>
    <w:qFormat/>
    <w:rPr>
      <w:sz w:val="21"/>
      <w:szCs w:val="21"/>
    </w:rPr>
  </w:style>
  <w:style w:type="paragraph" w:styleId="afc">
    <w:name w:val="List Paragraph"/>
    <w:basedOn w:val="a"/>
    <w:uiPriority w:val="99"/>
    <w:qFormat/>
    <w:pPr>
      <w:ind w:left="720"/>
      <w:contextualSpacing/>
    </w:pPr>
  </w:style>
  <w:style w:type="paragraph" w:customStyle="1" w:styleId="volume-issue">
    <w:name w:val="volume-issue"/>
    <w:basedOn w:val="a"/>
    <w:qFormat/>
    <w:pPr>
      <w:spacing w:before="100" w:beforeAutospacing="1" w:after="100" w:afterAutospacing="1" w:line="240" w:lineRule="auto"/>
    </w:pPr>
    <w:rPr>
      <w:rFonts w:eastAsia="Times New Roman"/>
      <w:sz w:val="24"/>
      <w:lang w:eastAsia="ru-RU"/>
    </w:rPr>
  </w:style>
  <w:style w:type="character" w:customStyle="1" w:styleId="comma-separator">
    <w:name w:val="comma-separator"/>
    <w:basedOn w:val="a0"/>
    <w:qFormat/>
  </w:style>
  <w:style w:type="character" w:customStyle="1" w:styleId="hlfld-title">
    <w:name w:val="hlfld-title"/>
    <w:basedOn w:val="a0"/>
    <w:qFormat/>
  </w:style>
  <w:style w:type="character" w:customStyle="1" w:styleId="hlfld-contribauthor">
    <w:name w:val="hlfld-contribauthor"/>
    <w:basedOn w:val="a0"/>
    <w:qFormat/>
  </w:style>
  <w:style w:type="character" w:customStyle="1" w:styleId="cit-title">
    <w:name w:val="cit-title"/>
    <w:basedOn w:val="a0"/>
    <w:qFormat/>
  </w:style>
  <w:style w:type="character" w:customStyle="1" w:styleId="cit-year-info">
    <w:name w:val="cit-year-info"/>
    <w:basedOn w:val="a0"/>
    <w:qFormat/>
  </w:style>
  <w:style w:type="character" w:customStyle="1" w:styleId="cit-volume">
    <w:name w:val="cit-volume"/>
    <w:basedOn w:val="a0"/>
    <w:qFormat/>
  </w:style>
  <w:style w:type="character" w:customStyle="1" w:styleId="cit-issue">
    <w:name w:val="cit-issue"/>
    <w:basedOn w:val="a0"/>
    <w:qFormat/>
  </w:style>
  <w:style w:type="character" w:customStyle="1" w:styleId="cit-pagerange">
    <w:name w:val="cit-pagerange"/>
    <w:basedOn w:val="a0"/>
    <w:qFormat/>
  </w:style>
  <w:style w:type="character" w:customStyle="1" w:styleId="en-journal-one-line">
    <w:name w:val="en-journal-one-line"/>
    <w:basedOn w:val="a0"/>
    <w:qFormat/>
  </w:style>
  <w:style w:type="character" w:customStyle="1" w:styleId="inlineblock">
    <w:name w:val="inlineblock"/>
    <w:basedOn w:val="a0"/>
    <w:qFormat/>
  </w:style>
  <w:style w:type="character" w:customStyle="1" w:styleId="sciprofiles-linkname">
    <w:name w:val="sciprofiles-link__name"/>
    <w:basedOn w:val="a0"/>
    <w:qFormat/>
  </w:style>
  <w:style w:type="character" w:customStyle="1" w:styleId="cited-contentcbycitationarticle-contributors">
    <w:name w:val="cited-content_cbycitation_article-contributors"/>
    <w:basedOn w:val="a0"/>
    <w:qFormat/>
  </w:style>
  <w:style w:type="character" w:customStyle="1" w:styleId="cited-contentcbycitationarticle-title">
    <w:name w:val="cited-content_cbycitation_article-title"/>
    <w:basedOn w:val="a0"/>
    <w:qFormat/>
  </w:style>
  <w:style w:type="character" w:customStyle="1" w:styleId="11">
    <w:name w:val="Название1"/>
    <w:basedOn w:val="a0"/>
    <w:qFormat/>
  </w:style>
  <w:style w:type="character" w:customStyle="1" w:styleId="12">
    <w:name w:val="Подзаголовок1"/>
    <w:basedOn w:val="a0"/>
    <w:qFormat/>
  </w:style>
  <w:style w:type="character" w:customStyle="1" w:styleId="inline">
    <w:name w:val="inline"/>
    <w:basedOn w:val="a0"/>
    <w:qFormat/>
  </w:style>
  <w:style w:type="character" w:customStyle="1" w:styleId="articleauthor-link">
    <w:name w:val="article__author-link"/>
    <w:basedOn w:val="a0"/>
    <w:qFormat/>
  </w:style>
  <w:style w:type="character" w:customStyle="1" w:styleId="a6">
    <w:name w:val="正文文本 字符"/>
    <w:basedOn w:val="a0"/>
    <w:link w:val="a5"/>
    <w:uiPriority w:val="99"/>
    <w:semiHidden/>
    <w:qFormat/>
  </w:style>
  <w:style w:type="character" w:customStyle="1" w:styleId="af4">
    <w:name w:val="正文文本首行缩进 字符"/>
    <w:basedOn w:val="a6"/>
    <w:link w:val="af3"/>
    <w:qFormat/>
    <w:rPr>
      <w:rFonts w:ascii="Times New Roman" w:eastAsia="MS Mincho" w:hAnsi="Times New Roman" w:cs="Times New Roman"/>
      <w:sz w:val="24"/>
      <w:szCs w:val="24"/>
      <w:lang w:eastAsia="ru-RU"/>
    </w:rPr>
  </w:style>
  <w:style w:type="character" w:customStyle="1" w:styleId="af0">
    <w:name w:val="标题 字符"/>
    <w:basedOn w:val="a0"/>
    <w:link w:val="af"/>
    <w:qFormat/>
    <w:rPr>
      <w:rFonts w:ascii="A3 Times AzLat" w:eastAsia="MS Mincho" w:hAnsi="A3 Times AzLat" w:cs="Times New Roman"/>
      <w:sz w:val="28"/>
      <w:szCs w:val="24"/>
      <w:lang w:eastAsia="ru-RU"/>
    </w:rPr>
  </w:style>
  <w:style w:type="paragraph" w:customStyle="1" w:styleId="13">
    <w:name w:val="1 Знак Знак Знак Знак"/>
    <w:basedOn w:val="a"/>
    <w:qFormat/>
    <w:pPr>
      <w:spacing w:after="0" w:line="240" w:lineRule="auto"/>
    </w:pPr>
    <w:rPr>
      <w:rFonts w:ascii="Verdana" w:eastAsia="Times New Roman" w:hAnsi="Verdana" w:cs="Verdana"/>
      <w:sz w:val="20"/>
      <w:szCs w:val="20"/>
    </w:rPr>
  </w:style>
  <w:style w:type="character" w:customStyle="1" w:styleId="10">
    <w:name w:val="标题 1 字符"/>
    <w:basedOn w:val="a0"/>
    <w:link w:val="1"/>
    <w:uiPriority w:val="9"/>
    <w:qFormat/>
    <w:rPr>
      <w:rFonts w:ascii="Times New Roman" w:eastAsia="Times New Roman" w:hAnsi="Times New Roman" w:cs="Times New Roman"/>
      <w:b/>
      <w:bCs/>
      <w:kern w:val="36"/>
      <w:sz w:val="48"/>
      <w:szCs w:val="48"/>
      <w:lang w:eastAsia="ru-RU"/>
    </w:rPr>
  </w:style>
  <w:style w:type="character" w:customStyle="1" w:styleId="accordion-tabbedtab-mobile">
    <w:name w:val="accordion-tabbed__tab-mobile"/>
    <w:basedOn w:val="a0"/>
    <w:qFormat/>
  </w:style>
  <w:style w:type="character" w:customStyle="1" w:styleId="val">
    <w:name w:val="val"/>
    <w:basedOn w:val="a0"/>
    <w:qFormat/>
  </w:style>
  <w:style w:type="character" w:customStyle="1" w:styleId="30">
    <w:name w:val="标题 3 字符"/>
    <w:basedOn w:val="a0"/>
    <w:link w:val="3"/>
    <w:uiPriority w:val="9"/>
    <w:semiHidden/>
    <w:qFormat/>
    <w:rPr>
      <w:rFonts w:asciiTheme="majorHAnsi" w:eastAsiaTheme="majorEastAsia" w:hAnsiTheme="majorHAnsi" w:cstheme="majorBidi"/>
      <w:b/>
      <w:bCs/>
      <w:color w:val="4F81BD" w:themeColor="accent1"/>
    </w:rPr>
  </w:style>
  <w:style w:type="character" w:customStyle="1" w:styleId="a8">
    <w:name w:val="批注框文本 字符"/>
    <w:basedOn w:val="a0"/>
    <w:link w:val="a7"/>
    <w:uiPriority w:val="99"/>
    <w:semiHidden/>
    <w:qFormat/>
    <w:rPr>
      <w:rFonts w:ascii="Tahoma" w:hAnsi="Tahoma" w:cs="Tahoma"/>
      <w:sz w:val="16"/>
      <w:szCs w:val="16"/>
    </w:rPr>
  </w:style>
  <w:style w:type="paragraph" w:customStyle="1" w:styleId="ConsPlusNormal">
    <w:name w:val="ConsPlusNormal"/>
    <w:qFormat/>
    <w:pPr>
      <w:widowControl w:val="0"/>
      <w:autoSpaceDE w:val="0"/>
      <w:autoSpaceDN w:val="0"/>
    </w:pPr>
    <w:rPr>
      <w:rFonts w:ascii="Calibri" w:eastAsia="Times New Roman" w:hAnsi="Calibri" w:cs="Calibri"/>
      <w:sz w:val="22"/>
      <w:lang w:val="ru-RU" w:eastAsia="ru-RU"/>
    </w:rPr>
  </w:style>
  <w:style w:type="paragraph" w:customStyle="1" w:styleId="afd">
    <w:name w:val="УДК"/>
    <w:basedOn w:val="a"/>
    <w:qFormat/>
    <w:pPr>
      <w:keepNext/>
      <w:spacing w:line="240" w:lineRule="auto"/>
    </w:pPr>
    <w:rPr>
      <w:rFonts w:eastAsia="Times New Roman"/>
      <w:sz w:val="18"/>
      <w:szCs w:val="20"/>
      <w:lang w:eastAsia="ru-RU"/>
    </w:rPr>
  </w:style>
  <w:style w:type="character" w:customStyle="1" w:styleId="ac">
    <w:name w:val="页眉 字符"/>
    <w:basedOn w:val="a0"/>
    <w:link w:val="ab"/>
    <w:uiPriority w:val="99"/>
    <w:qFormat/>
  </w:style>
  <w:style w:type="character" w:customStyle="1" w:styleId="aa">
    <w:name w:val="页脚 字符"/>
    <w:basedOn w:val="a0"/>
    <w:link w:val="a9"/>
    <w:uiPriority w:val="99"/>
    <w:qFormat/>
  </w:style>
  <w:style w:type="character" w:customStyle="1" w:styleId="rynqvb">
    <w:name w:val="rynqvb"/>
    <w:basedOn w:val="a0"/>
    <w:qFormat/>
  </w:style>
  <w:style w:type="paragraph" w:customStyle="1" w:styleId="afe">
    <w:name w:val="Фам автора"/>
    <w:basedOn w:val="a"/>
    <w:next w:val="a"/>
    <w:qFormat/>
    <w:pPr>
      <w:keepNext/>
      <w:spacing w:after="120" w:line="240" w:lineRule="auto"/>
      <w:jc w:val="center"/>
      <w:outlineLvl w:val="1"/>
    </w:pPr>
    <w:rPr>
      <w:rFonts w:eastAsia="Times New Roman"/>
      <w:sz w:val="24"/>
      <w:szCs w:val="20"/>
      <w:lang w:eastAsia="ru-RU"/>
    </w:rPr>
  </w:style>
  <w:style w:type="character" w:customStyle="1" w:styleId="q4iawc">
    <w:name w:val="q4iawc"/>
    <w:basedOn w:val="a0"/>
    <w:qFormat/>
  </w:style>
  <w:style w:type="character" w:customStyle="1" w:styleId="anchor-text">
    <w:name w:val="anchor-text"/>
    <w:basedOn w:val="a0"/>
    <w:qFormat/>
  </w:style>
  <w:style w:type="character" w:customStyle="1" w:styleId="author-xref-symbol">
    <w:name w:val="author-xref-symbol"/>
    <w:basedOn w:val="a0"/>
    <w:qFormat/>
  </w:style>
  <w:style w:type="character" w:customStyle="1" w:styleId="authors-list-item">
    <w:name w:val="authors-list-item"/>
    <w:basedOn w:val="a0"/>
    <w:qFormat/>
  </w:style>
  <w:style w:type="character" w:customStyle="1" w:styleId="author-sup-separator">
    <w:name w:val="author-sup-separator"/>
    <w:basedOn w:val="a0"/>
    <w:qFormat/>
  </w:style>
  <w:style w:type="character" w:customStyle="1" w:styleId="comma">
    <w:name w:val="comma"/>
    <w:basedOn w:val="a0"/>
    <w:qFormat/>
  </w:style>
  <w:style w:type="character" w:customStyle="1" w:styleId="citation-doi">
    <w:name w:val="citation-doi"/>
    <w:basedOn w:val="a0"/>
    <w:qFormat/>
  </w:style>
  <w:style w:type="character" w:customStyle="1" w:styleId="a-size-extra-large">
    <w:name w:val="a-size-extra-large"/>
    <w:basedOn w:val="a0"/>
    <w:qFormat/>
  </w:style>
  <w:style w:type="character" w:customStyle="1" w:styleId="a4">
    <w:name w:val="批注文字 字符"/>
    <w:basedOn w:val="a0"/>
    <w:link w:val="a3"/>
    <w:uiPriority w:val="99"/>
    <w:qFormat/>
  </w:style>
  <w:style w:type="character" w:customStyle="1" w:styleId="af2">
    <w:name w:val="批注主题 字符"/>
    <w:basedOn w:val="a4"/>
    <w:link w:val="af1"/>
    <w:uiPriority w:val="99"/>
    <w:semiHidden/>
    <w:qFormat/>
    <w:rPr>
      <w:b/>
      <w:bCs/>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14">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1">
    <w:name w:val="未处理的提及3"/>
    <w:basedOn w:val="a0"/>
    <w:uiPriority w:val="99"/>
    <w:semiHidden/>
    <w:unhideWhenUsed/>
    <w:qFormat/>
    <w:rPr>
      <w:color w:val="605E5C"/>
      <w:shd w:val="clear" w:color="auto" w:fill="E1DFDD"/>
    </w:rPr>
  </w:style>
  <w:style w:type="paragraph" w:customStyle="1" w:styleId="Template1">
    <w:name w:val="Template 1"/>
    <w:qFormat/>
    <w:pPr>
      <w:adjustRightInd w:val="0"/>
      <w:snapToGrid w:val="0"/>
      <w:spacing w:before="120" w:after="120" w:line="260" w:lineRule="atLeast"/>
      <w:ind w:left="709"/>
      <w:jc w:val="center"/>
    </w:pPr>
    <w:rPr>
      <w:rFonts w:ascii="Palatino Linotype" w:eastAsia="Times New Roman" w:hAnsi="Palatino Linotype"/>
      <w:snapToGrid w:val="0"/>
      <w:color w:val="000000"/>
      <w:szCs w:val="24"/>
      <w:lang w:eastAsia="de-DE" w:bidi="en-US"/>
    </w:rPr>
  </w:style>
  <w:style w:type="paragraph" w:customStyle="1" w:styleId="Template2">
    <w:name w:val="Template 2"/>
    <w:qFormat/>
    <w:pPr>
      <w:spacing w:before="120" w:after="120"/>
      <w:jc w:val="right"/>
    </w:pPr>
    <w:rPr>
      <w:rFonts w:ascii="Palatino Linotype" w:eastAsia="Times New Roman" w:hAnsi="Palatino Linotype"/>
      <w:snapToGrid w:val="0"/>
      <w:color w:val="000000"/>
      <w:szCs w:val="24"/>
      <w:lang w:eastAsia="de-DE" w:bidi="en-US"/>
    </w:rPr>
  </w:style>
  <w:style w:type="paragraph" w:customStyle="1" w:styleId="EndNoteBibliography">
    <w:name w:val="EndNote Bibliography"/>
    <w:basedOn w:val="a"/>
    <w:link w:val="EndNoteBibliographyChar"/>
    <w:qFormat/>
    <w:pPr>
      <w:spacing w:after="0" w:line="240" w:lineRule="auto"/>
      <w:jc w:val="both"/>
    </w:pPr>
    <w:rPr>
      <w:rFonts w:ascii="Calibri" w:hAnsi="Calibri" w:cs="Calibri"/>
      <w:sz w:val="20"/>
      <w:szCs w:val="20"/>
      <w:lang w:eastAsia="zh-CN"/>
    </w:rPr>
  </w:style>
  <w:style w:type="character" w:customStyle="1" w:styleId="EndNoteBibliographyChar">
    <w:name w:val="EndNote Bibliography Char"/>
    <w:basedOn w:val="a0"/>
    <w:link w:val="EndNoteBibliography"/>
    <w:qFormat/>
    <w:rPr>
      <w:rFonts w:ascii="Calibri" w:hAnsi="Calibri" w:cs="Calibri"/>
      <w:sz w:val="20"/>
      <w:szCs w:val="20"/>
      <w:lang w:val="en-US" w:eastAsia="zh-CN"/>
    </w:rPr>
  </w:style>
  <w:style w:type="paragraph" w:customStyle="1" w:styleId="MDPI31text">
    <w:name w:val="MDPI_3.1_text"/>
    <w:qFormat/>
    <w:pPr>
      <w:adjustRightInd w:val="0"/>
      <w:snapToGrid w:val="0"/>
      <w:spacing w:line="228" w:lineRule="auto"/>
      <w:ind w:left="2608" w:firstLine="425"/>
      <w:jc w:val="both"/>
    </w:pPr>
    <w:rPr>
      <w:rFonts w:ascii="Palatino Linotype" w:eastAsia="Times New Roman" w:hAnsi="Palatino Linotype"/>
      <w:color w:val="000000"/>
      <w:szCs w:val="24"/>
      <w:lang w:eastAsia="de-DE" w:bidi="en-US"/>
    </w:rPr>
  </w:style>
  <w:style w:type="table" w:customStyle="1" w:styleId="15">
    <w:name w:val="网格型1"/>
    <w:basedOn w:val="a1"/>
    <w:uiPriority w:val="59"/>
    <w:qFormat/>
    <w:rPr>
      <w:rFonts w:ascii="Calibri" w:hAnsi="Calibri" w:cs="宋体"/>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uiPriority w:val="59"/>
    <w:qFormat/>
    <w:rPr>
      <w:rFonts w:ascii="Calibri" w:hAnsi="Calibri" w:cs="宋体"/>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
    <w:name w:val="未处理的提及4"/>
    <w:basedOn w:val="a0"/>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ascii="DNENB B+ Gulliver" w:eastAsia="Calibri" w:hAnsi="DNENB B+ Gulliver" w:cs="DNENB B+ Gulliver"/>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1441">
      <w:bodyDiv w:val="1"/>
      <w:marLeft w:val="0"/>
      <w:marRight w:val="0"/>
      <w:marTop w:val="0"/>
      <w:marBottom w:val="0"/>
      <w:divBdr>
        <w:top w:val="none" w:sz="0" w:space="0" w:color="auto"/>
        <w:left w:val="none" w:sz="0" w:space="0" w:color="auto"/>
        <w:bottom w:val="none" w:sz="0" w:space="0" w:color="auto"/>
        <w:right w:val="none" w:sz="0" w:space="0" w:color="auto"/>
      </w:divBdr>
    </w:div>
    <w:div w:id="112286496">
      <w:bodyDiv w:val="1"/>
      <w:marLeft w:val="0"/>
      <w:marRight w:val="0"/>
      <w:marTop w:val="0"/>
      <w:marBottom w:val="0"/>
      <w:divBdr>
        <w:top w:val="none" w:sz="0" w:space="0" w:color="auto"/>
        <w:left w:val="none" w:sz="0" w:space="0" w:color="auto"/>
        <w:bottom w:val="none" w:sz="0" w:space="0" w:color="auto"/>
        <w:right w:val="none" w:sz="0" w:space="0" w:color="auto"/>
      </w:divBdr>
    </w:div>
    <w:div w:id="142475754">
      <w:bodyDiv w:val="1"/>
      <w:marLeft w:val="0"/>
      <w:marRight w:val="0"/>
      <w:marTop w:val="0"/>
      <w:marBottom w:val="0"/>
      <w:divBdr>
        <w:top w:val="none" w:sz="0" w:space="0" w:color="auto"/>
        <w:left w:val="none" w:sz="0" w:space="0" w:color="auto"/>
        <w:bottom w:val="none" w:sz="0" w:space="0" w:color="auto"/>
        <w:right w:val="none" w:sz="0" w:space="0" w:color="auto"/>
      </w:divBdr>
    </w:div>
    <w:div w:id="188031978">
      <w:bodyDiv w:val="1"/>
      <w:marLeft w:val="0"/>
      <w:marRight w:val="0"/>
      <w:marTop w:val="0"/>
      <w:marBottom w:val="0"/>
      <w:divBdr>
        <w:top w:val="none" w:sz="0" w:space="0" w:color="auto"/>
        <w:left w:val="none" w:sz="0" w:space="0" w:color="auto"/>
        <w:bottom w:val="none" w:sz="0" w:space="0" w:color="auto"/>
        <w:right w:val="none" w:sz="0" w:space="0" w:color="auto"/>
      </w:divBdr>
    </w:div>
    <w:div w:id="279186706">
      <w:bodyDiv w:val="1"/>
      <w:marLeft w:val="0"/>
      <w:marRight w:val="0"/>
      <w:marTop w:val="0"/>
      <w:marBottom w:val="0"/>
      <w:divBdr>
        <w:top w:val="none" w:sz="0" w:space="0" w:color="auto"/>
        <w:left w:val="none" w:sz="0" w:space="0" w:color="auto"/>
        <w:bottom w:val="none" w:sz="0" w:space="0" w:color="auto"/>
        <w:right w:val="none" w:sz="0" w:space="0" w:color="auto"/>
      </w:divBdr>
    </w:div>
    <w:div w:id="530148262">
      <w:bodyDiv w:val="1"/>
      <w:marLeft w:val="0"/>
      <w:marRight w:val="0"/>
      <w:marTop w:val="0"/>
      <w:marBottom w:val="0"/>
      <w:divBdr>
        <w:top w:val="none" w:sz="0" w:space="0" w:color="auto"/>
        <w:left w:val="none" w:sz="0" w:space="0" w:color="auto"/>
        <w:bottom w:val="none" w:sz="0" w:space="0" w:color="auto"/>
        <w:right w:val="none" w:sz="0" w:space="0" w:color="auto"/>
      </w:divBdr>
    </w:div>
    <w:div w:id="545332833">
      <w:bodyDiv w:val="1"/>
      <w:marLeft w:val="0"/>
      <w:marRight w:val="0"/>
      <w:marTop w:val="0"/>
      <w:marBottom w:val="0"/>
      <w:divBdr>
        <w:top w:val="none" w:sz="0" w:space="0" w:color="auto"/>
        <w:left w:val="none" w:sz="0" w:space="0" w:color="auto"/>
        <w:bottom w:val="none" w:sz="0" w:space="0" w:color="auto"/>
        <w:right w:val="none" w:sz="0" w:space="0" w:color="auto"/>
      </w:divBdr>
    </w:div>
    <w:div w:id="635069066">
      <w:bodyDiv w:val="1"/>
      <w:marLeft w:val="0"/>
      <w:marRight w:val="0"/>
      <w:marTop w:val="0"/>
      <w:marBottom w:val="0"/>
      <w:divBdr>
        <w:top w:val="none" w:sz="0" w:space="0" w:color="auto"/>
        <w:left w:val="none" w:sz="0" w:space="0" w:color="auto"/>
        <w:bottom w:val="none" w:sz="0" w:space="0" w:color="auto"/>
        <w:right w:val="none" w:sz="0" w:space="0" w:color="auto"/>
      </w:divBdr>
    </w:div>
    <w:div w:id="679746685">
      <w:bodyDiv w:val="1"/>
      <w:marLeft w:val="0"/>
      <w:marRight w:val="0"/>
      <w:marTop w:val="0"/>
      <w:marBottom w:val="0"/>
      <w:divBdr>
        <w:top w:val="none" w:sz="0" w:space="0" w:color="auto"/>
        <w:left w:val="none" w:sz="0" w:space="0" w:color="auto"/>
        <w:bottom w:val="none" w:sz="0" w:space="0" w:color="auto"/>
        <w:right w:val="none" w:sz="0" w:space="0" w:color="auto"/>
      </w:divBdr>
    </w:div>
    <w:div w:id="682899528">
      <w:bodyDiv w:val="1"/>
      <w:marLeft w:val="0"/>
      <w:marRight w:val="0"/>
      <w:marTop w:val="0"/>
      <w:marBottom w:val="0"/>
      <w:divBdr>
        <w:top w:val="none" w:sz="0" w:space="0" w:color="auto"/>
        <w:left w:val="none" w:sz="0" w:space="0" w:color="auto"/>
        <w:bottom w:val="none" w:sz="0" w:space="0" w:color="auto"/>
        <w:right w:val="none" w:sz="0" w:space="0" w:color="auto"/>
      </w:divBdr>
    </w:div>
    <w:div w:id="725373110">
      <w:bodyDiv w:val="1"/>
      <w:marLeft w:val="0"/>
      <w:marRight w:val="0"/>
      <w:marTop w:val="0"/>
      <w:marBottom w:val="0"/>
      <w:divBdr>
        <w:top w:val="none" w:sz="0" w:space="0" w:color="auto"/>
        <w:left w:val="none" w:sz="0" w:space="0" w:color="auto"/>
        <w:bottom w:val="none" w:sz="0" w:space="0" w:color="auto"/>
        <w:right w:val="none" w:sz="0" w:space="0" w:color="auto"/>
      </w:divBdr>
    </w:div>
    <w:div w:id="725447239">
      <w:bodyDiv w:val="1"/>
      <w:marLeft w:val="0"/>
      <w:marRight w:val="0"/>
      <w:marTop w:val="0"/>
      <w:marBottom w:val="0"/>
      <w:divBdr>
        <w:top w:val="none" w:sz="0" w:space="0" w:color="auto"/>
        <w:left w:val="none" w:sz="0" w:space="0" w:color="auto"/>
        <w:bottom w:val="none" w:sz="0" w:space="0" w:color="auto"/>
        <w:right w:val="none" w:sz="0" w:space="0" w:color="auto"/>
      </w:divBdr>
    </w:div>
    <w:div w:id="815531198">
      <w:bodyDiv w:val="1"/>
      <w:marLeft w:val="0"/>
      <w:marRight w:val="0"/>
      <w:marTop w:val="0"/>
      <w:marBottom w:val="0"/>
      <w:divBdr>
        <w:top w:val="none" w:sz="0" w:space="0" w:color="auto"/>
        <w:left w:val="none" w:sz="0" w:space="0" w:color="auto"/>
        <w:bottom w:val="none" w:sz="0" w:space="0" w:color="auto"/>
        <w:right w:val="none" w:sz="0" w:space="0" w:color="auto"/>
      </w:divBdr>
    </w:div>
    <w:div w:id="1263873668">
      <w:bodyDiv w:val="1"/>
      <w:marLeft w:val="0"/>
      <w:marRight w:val="0"/>
      <w:marTop w:val="0"/>
      <w:marBottom w:val="0"/>
      <w:divBdr>
        <w:top w:val="none" w:sz="0" w:space="0" w:color="auto"/>
        <w:left w:val="none" w:sz="0" w:space="0" w:color="auto"/>
        <w:bottom w:val="none" w:sz="0" w:space="0" w:color="auto"/>
        <w:right w:val="none" w:sz="0" w:space="0" w:color="auto"/>
      </w:divBdr>
    </w:div>
    <w:div w:id="1275140713">
      <w:bodyDiv w:val="1"/>
      <w:marLeft w:val="0"/>
      <w:marRight w:val="0"/>
      <w:marTop w:val="0"/>
      <w:marBottom w:val="0"/>
      <w:divBdr>
        <w:top w:val="none" w:sz="0" w:space="0" w:color="auto"/>
        <w:left w:val="none" w:sz="0" w:space="0" w:color="auto"/>
        <w:bottom w:val="none" w:sz="0" w:space="0" w:color="auto"/>
        <w:right w:val="none" w:sz="0" w:space="0" w:color="auto"/>
      </w:divBdr>
    </w:div>
    <w:div w:id="1288244557">
      <w:bodyDiv w:val="1"/>
      <w:marLeft w:val="0"/>
      <w:marRight w:val="0"/>
      <w:marTop w:val="0"/>
      <w:marBottom w:val="0"/>
      <w:divBdr>
        <w:top w:val="none" w:sz="0" w:space="0" w:color="auto"/>
        <w:left w:val="none" w:sz="0" w:space="0" w:color="auto"/>
        <w:bottom w:val="none" w:sz="0" w:space="0" w:color="auto"/>
        <w:right w:val="none" w:sz="0" w:space="0" w:color="auto"/>
      </w:divBdr>
    </w:div>
    <w:div w:id="1388532738">
      <w:bodyDiv w:val="1"/>
      <w:marLeft w:val="0"/>
      <w:marRight w:val="0"/>
      <w:marTop w:val="0"/>
      <w:marBottom w:val="0"/>
      <w:divBdr>
        <w:top w:val="none" w:sz="0" w:space="0" w:color="auto"/>
        <w:left w:val="none" w:sz="0" w:space="0" w:color="auto"/>
        <w:bottom w:val="none" w:sz="0" w:space="0" w:color="auto"/>
        <w:right w:val="none" w:sz="0" w:space="0" w:color="auto"/>
      </w:divBdr>
    </w:div>
    <w:div w:id="1438136899">
      <w:bodyDiv w:val="1"/>
      <w:marLeft w:val="0"/>
      <w:marRight w:val="0"/>
      <w:marTop w:val="0"/>
      <w:marBottom w:val="0"/>
      <w:divBdr>
        <w:top w:val="none" w:sz="0" w:space="0" w:color="auto"/>
        <w:left w:val="none" w:sz="0" w:space="0" w:color="auto"/>
        <w:bottom w:val="none" w:sz="0" w:space="0" w:color="auto"/>
        <w:right w:val="none" w:sz="0" w:space="0" w:color="auto"/>
      </w:divBdr>
    </w:div>
    <w:div w:id="1639146391">
      <w:bodyDiv w:val="1"/>
      <w:marLeft w:val="0"/>
      <w:marRight w:val="0"/>
      <w:marTop w:val="0"/>
      <w:marBottom w:val="0"/>
      <w:divBdr>
        <w:top w:val="none" w:sz="0" w:space="0" w:color="auto"/>
        <w:left w:val="none" w:sz="0" w:space="0" w:color="auto"/>
        <w:bottom w:val="none" w:sz="0" w:space="0" w:color="auto"/>
        <w:right w:val="none" w:sz="0" w:space="0" w:color="auto"/>
      </w:divBdr>
    </w:div>
    <w:div w:id="1770153440">
      <w:bodyDiv w:val="1"/>
      <w:marLeft w:val="0"/>
      <w:marRight w:val="0"/>
      <w:marTop w:val="0"/>
      <w:marBottom w:val="0"/>
      <w:divBdr>
        <w:top w:val="none" w:sz="0" w:space="0" w:color="auto"/>
        <w:left w:val="none" w:sz="0" w:space="0" w:color="auto"/>
        <w:bottom w:val="none" w:sz="0" w:space="0" w:color="auto"/>
        <w:right w:val="none" w:sz="0" w:space="0" w:color="auto"/>
      </w:divBdr>
    </w:div>
    <w:div w:id="1774549487">
      <w:bodyDiv w:val="1"/>
      <w:marLeft w:val="0"/>
      <w:marRight w:val="0"/>
      <w:marTop w:val="0"/>
      <w:marBottom w:val="0"/>
      <w:divBdr>
        <w:top w:val="none" w:sz="0" w:space="0" w:color="auto"/>
        <w:left w:val="none" w:sz="0" w:space="0" w:color="auto"/>
        <w:bottom w:val="none" w:sz="0" w:space="0" w:color="auto"/>
        <w:right w:val="none" w:sz="0" w:space="0" w:color="auto"/>
      </w:divBdr>
    </w:div>
    <w:div w:id="1805925733">
      <w:bodyDiv w:val="1"/>
      <w:marLeft w:val="0"/>
      <w:marRight w:val="0"/>
      <w:marTop w:val="0"/>
      <w:marBottom w:val="0"/>
      <w:divBdr>
        <w:top w:val="none" w:sz="0" w:space="0" w:color="auto"/>
        <w:left w:val="none" w:sz="0" w:space="0" w:color="auto"/>
        <w:bottom w:val="none" w:sz="0" w:space="0" w:color="auto"/>
        <w:right w:val="none" w:sz="0" w:space="0" w:color="auto"/>
      </w:divBdr>
    </w:div>
    <w:div w:id="1831754342">
      <w:bodyDiv w:val="1"/>
      <w:marLeft w:val="0"/>
      <w:marRight w:val="0"/>
      <w:marTop w:val="0"/>
      <w:marBottom w:val="0"/>
      <w:divBdr>
        <w:top w:val="none" w:sz="0" w:space="0" w:color="auto"/>
        <w:left w:val="none" w:sz="0" w:space="0" w:color="auto"/>
        <w:bottom w:val="none" w:sz="0" w:space="0" w:color="auto"/>
        <w:right w:val="none" w:sz="0" w:space="0" w:color="auto"/>
      </w:divBdr>
    </w:div>
    <w:div w:id="1852253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139AE8CE-B32A-4780-9C56-2C34C20608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8627</Words>
  <Characters>49174</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Otaq208</dc:creator>
  <cp:lastModifiedBy>Lucy Deng</cp:lastModifiedBy>
  <cp:revision>2</cp:revision>
  <cp:lastPrinted>2023-11-23T06:11:00Z</cp:lastPrinted>
  <dcterms:created xsi:type="dcterms:W3CDTF">2025-06-26T02:31:00Z</dcterms:created>
  <dcterms:modified xsi:type="dcterms:W3CDTF">2025-06-26T02:31:00Z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0FC97DAA7B354FCBA8FC14B7216DA1C4_13</vt:lpwstr>
  </property>
</Properties>
</file>